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50715" w:rsidRDefault="006A60F1">
      <w:pPr>
        <w:pStyle w:val="Title"/>
      </w:pPr>
      <w:r>
        <w:t>Federal Application-Aware Networking: SQL Server Authentication Modernization</w:t>
      </w:r>
    </w:p>
    <w:p w:rsidR="00A50715" w:rsidRDefault="006A60F1">
      <w:pPr>
        <w:pStyle w:val="Subtitle"/>
      </w:pPr>
      <w:r>
        <w:t>Eliminating Domain Credentials from SQL Server — Azure Arc, Entra ID, and Zero-Trust Authentication</w:t>
      </w:r>
    </w:p>
    <w:p w:rsidR="00A50715" w:rsidRDefault="006A60F1">
      <w:pPr>
        <w:pStyle w:val="Author"/>
      </w:pPr>
      <w:r>
        <w:t>Federal Cloud Services</w:t>
      </w:r>
    </w:p>
    <w:p w:rsidR="00A50715" w:rsidRDefault="006A60F1">
      <w:pPr>
        <w:pStyle w:val="Date"/>
      </w:pPr>
      <w:r>
        <w:t>2026-07-01</w:t>
      </w:r>
    </w:p>
    <w:sdt>
      <w:sdtPr>
        <w:rPr>
          <w:rFonts w:asciiTheme="minorHAnsi" w:eastAsiaTheme="minorEastAsia" w:hAnsiTheme="minorHAnsi" w:cstheme="minorBidi"/>
          <w:color w:val="auto"/>
          <w:sz w:val="24"/>
          <w:szCs w:val="24"/>
        </w:rPr>
        <w:id w:val="-633490974"/>
        <w:docPartObj>
          <w:docPartGallery w:val="Table of Contents"/>
          <w:docPartUnique/>
        </w:docPartObj>
      </w:sdtPr>
      <w:sdtEndPr/>
      <w:sdtContent>
        <w:p w:rsidR="00A50715" w:rsidRDefault="006A60F1">
          <w:pPr>
            <w:pStyle w:val="TOCHeading"/>
          </w:pPr>
          <w:r>
            <w:t>Table of contents</w:t>
          </w:r>
        </w:p>
        <w:p w:rsidR="00062A57" w:rsidRDefault="006A60F1">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8273" w:history="1">
            <w:r w:rsidR="00062A57" w:rsidRPr="0012212C">
              <w:rPr>
                <w:rStyle w:val="Hyperlink"/>
                <w:noProof/>
              </w:rPr>
              <w:t>1. The Inherited Problem: What Kerberos Actually Does</w:t>
            </w:r>
            <w:r w:rsidR="00062A57">
              <w:rPr>
                <w:noProof/>
                <w:webHidden/>
              </w:rPr>
              <w:tab/>
            </w:r>
            <w:r w:rsidR="00062A57">
              <w:rPr>
                <w:noProof/>
                <w:webHidden/>
              </w:rPr>
              <w:fldChar w:fldCharType="begin"/>
            </w:r>
            <w:r w:rsidR="00062A57">
              <w:rPr>
                <w:noProof/>
                <w:webHidden/>
              </w:rPr>
              <w:instrText xml:space="preserve"> PAGEREF _Toc233818273 \h </w:instrText>
            </w:r>
            <w:r w:rsidR="00062A57">
              <w:rPr>
                <w:noProof/>
                <w:webHidden/>
              </w:rPr>
            </w:r>
            <w:r w:rsidR="00062A57">
              <w:rPr>
                <w:noProof/>
                <w:webHidden/>
              </w:rPr>
              <w:fldChar w:fldCharType="separate"/>
            </w:r>
            <w:r w:rsidR="00062A57">
              <w:rPr>
                <w:noProof/>
                <w:webHidden/>
              </w:rPr>
              <w:t>2</w:t>
            </w:r>
            <w:r w:rsidR="00062A57">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4" w:history="1">
            <w:r w:rsidRPr="0012212C">
              <w:rPr>
                <w:rStyle w:val="Hyperlink"/>
                <w:noProof/>
              </w:rPr>
              <w:t>1.1 What Kerberos Requires</w:t>
            </w:r>
            <w:r>
              <w:rPr>
                <w:noProof/>
                <w:webHidden/>
              </w:rPr>
              <w:tab/>
            </w:r>
            <w:r>
              <w:rPr>
                <w:noProof/>
                <w:webHidden/>
              </w:rPr>
              <w:fldChar w:fldCharType="begin"/>
            </w:r>
            <w:r>
              <w:rPr>
                <w:noProof/>
                <w:webHidden/>
              </w:rPr>
              <w:instrText xml:space="preserve"> PAGEREF _Toc233818274 \h </w:instrText>
            </w:r>
            <w:r>
              <w:rPr>
                <w:noProof/>
                <w:webHidden/>
              </w:rPr>
            </w:r>
            <w:r>
              <w:rPr>
                <w:noProof/>
                <w:webHidden/>
              </w:rPr>
              <w:fldChar w:fldCharType="separate"/>
            </w:r>
            <w:r>
              <w:rPr>
                <w:noProof/>
                <w:webHidden/>
              </w:rPr>
              <w:t>3</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5" w:history="1">
            <w:r w:rsidRPr="0012212C">
              <w:rPr>
                <w:rStyle w:val="Hyperlink"/>
                <w:noProof/>
              </w:rPr>
              <w:t>1.2 The NTLM Problem</w:t>
            </w:r>
            <w:r>
              <w:rPr>
                <w:noProof/>
                <w:webHidden/>
              </w:rPr>
              <w:tab/>
            </w:r>
            <w:r>
              <w:rPr>
                <w:noProof/>
                <w:webHidden/>
              </w:rPr>
              <w:fldChar w:fldCharType="begin"/>
            </w:r>
            <w:r>
              <w:rPr>
                <w:noProof/>
                <w:webHidden/>
              </w:rPr>
              <w:instrText xml:space="preserve"> PAGEREF _Toc233818275 \h </w:instrText>
            </w:r>
            <w:r>
              <w:rPr>
                <w:noProof/>
                <w:webHidden/>
              </w:rPr>
            </w:r>
            <w:r>
              <w:rPr>
                <w:noProof/>
                <w:webHidden/>
              </w:rPr>
              <w:fldChar w:fldCharType="separate"/>
            </w:r>
            <w:r>
              <w:rPr>
                <w:noProof/>
                <w:webHidden/>
              </w:rPr>
              <w:t>3</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76" w:history="1">
            <w:r w:rsidRPr="0012212C">
              <w:rPr>
                <w:rStyle w:val="Hyperlink"/>
                <w:noProof/>
              </w:rPr>
              <w:t>2. The Estate: What Must Be Discovered</w:t>
            </w:r>
            <w:r>
              <w:rPr>
                <w:noProof/>
                <w:webHidden/>
              </w:rPr>
              <w:tab/>
            </w:r>
            <w:r>
              <w:rPr>
                <w:noProof/>
                <w:webHidden/>
              </w:rPr>
              <w:fldChar w:fldCharType="begin"/>
            </w:r>
            <w:r>
              <w:rPr>
                <w:noProof/>
                <w:webHidden/>
              </w:rPr>
              <w:instrText xml:space="preserve"> PAGEREF _Toc233818276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7" w:history="1">
            <w:r w:rsidRPr="0012212C">
              <w:rPr>
                <w:rStyle w:val="Hyperlink"/>
                <w:noProof/>
              </w:rPr>
              <w:t>2.1 Discovery Dimensions</w:t>
            </w:r>
            <w:r>
              <w:rPr>
                <w:noProof/>
                <w:webHidden/>
              </w:rPr>
              <w:tab/>
            </w:r>
            <w:r>
              <w:rPr>
                <w:noProof/>
                <w:webHidden/>
              </w:rPr>
              <w:fldChar w:fldCharType="begin"/>
            </w:r>
            <w:r>
              <w:rPr>
                <w:noProof/>
                <w:webHidden/>
              </w:rPr>
              <w:instrText xml:space="preserve"> PAGEREF _Toc233818277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78" w:history="1">
            <w:r w:rsidRPr="0012212C">
              <w:rPr>
                <w:rStyle w:val="Hyperlink"/>
                <w:noProof/>
              </w:rPr>
              <w:t>2.2 The Consolidation Gate</w:t>
            </w:r>
            <w:r>
              <w:rPr>
                <w:noProof/>
                <w:webHidden/>
              </w:rPr>
              <w:tab/>
            </w:r>
            <w:r>
              <w:rPr>
                <w:noProof/>
                <w:webHidden/>
              </w:rPr>
              <w:fldChar w:fldCharType="begin"/>
            </w:r>
            <w:r>
              <w:rPr>
                <w:noProof/>
                <w:webHidden/>
              </w:rPr>
              <w:instrText xml:space="preserve"> PAGEREF _Toc233818278 \h </w:instrText>
            </w:r>
            <w:r>
              <w:rPr>
                <w:noProof/>
                <w:webHidden/>
              </w:rPr>
            </w:r>
            <w:r>
              <w:rPr>
                <w:noProof/>
                <w:webHidden/>
              </w:rPr>
              <w:fldChar w:fldCharType="separate"/>
            </w:r>
            <w:r>
              <w:rPr>
                <w:noProof/>
                <w:webHidden/>
              </w:rPr>
              <w:t>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79" w:history="1">
            <w:r w:rsidRPr="0012212C">
              <w:rPr>
                <w:rStyle w:val="Hyperlink"/>
                <w:noProof/>
              </w:rPr>
              <w:t>3. Arc as the Identity Bridge</w:t>
            </w:r>
            <w:r>
              <w:rPr>
                <w:noProof/>
                <w:webHidden/>
              </w:rPr>
              <w:tab/>
            </w:r>
            <w:r>
              <w:rPr>
                <w:noProof/>
                <w:webHidden/>
              </w:rPr>
              <w:fldChar w:fldCharType="begin"/>
            </w:r>
            <w:r>
              <w:rPr>
                <w:noProof/>
                <w:webHidden/>
              </w:rPr>
              <w:instrText xml:space="preserve"> PAGEREF _Toc233818279 \h </w:instrText>
            </w:r>
            <w:r>
              <w:rPr>
                <w:noProof/>
                <w:webHidden/>
              </w:rPr>
            </w:r>
            <w:r>
              <w:rPr>
                <w:noProof/>
                <w:webHidden/>
              </w:rPr>
              <w:fldChar w:fldCharType="separate"/>
            </w:r>
            <w:r>
              <w:rPr>
                <w:noProof/>
                <w:webHidden/>
              </w:rPr>
              <w:t>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0" w:history="1">
            <w:r w:rsidRPr="0012212C">
              <w:rPr>
                <w:rStyle w:val="Hyperlink"/>
                <w:noProof/>
              </w:rPr>
              <w:t>3.1 What Arc Provides</w:t>
            </w:r>
            <w:r>
              <w:rPr>
                <w:noProof/>
                <w:webHidden/>
              </w:rPr>
              <w:tab/>
            </w:r>
            <w:r>
              <w:rPr>
                <w:noProof/>
                <w:webHidden/>
              </w:rPr>
              <w:fldChar w:fldCharType="begin"/>
            </w:r>
            <w:r>
              <w:rPr>
                <w:noProof/>
                <w:webHidden/>
              </w:rPr>
              <w:instrText xml:space="preserve"> PAGEREF _Toc233818280 \h </w:instrText>
            </w:r>
            <w:r>
              <w:rPr>
                <w:noProof/>
                <w:webHidden/>
              </w:rPr>
            </w:r>
            <w:r>
              <w:rPr>
                <w:noProof/>
                <w:webHidden/>
              </w:rPr>
              <w:fldChar w:fldCharType="separate"/>
            </w:r>
            <w:r>
              <w:rPr>
                <w:noProof/>
                <w:webHidden/>
              </w:rPr>
              <w:t>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1" w:history="1">
            <w:r w:rsidRPr="0012212C">
              <w:rPr>
                <w:rStyle w:val="Hyperlink"/>
                <w:noProof/>
              </w:rPr>
              <w:t>3.2 Layer 1: SQL Engine Authentication</w:t>
            </w:r>
            <w:r>
              <w:rPr>
                <w:noProof/>
                <w:webHidden/>
              </w:rPr>
              <w:tab/>
            </w:r>
            <w:r>
              <w:rPr>
                <w:noProof/>
                <w:webHidden/>
              </w:rPr>
              <w:fldChar w:fldCharType="begin"/>
            </w:r>
            <w:r>
              <w:rPr>
                <w:noProof/>
                <w:webHidden/>
              </w:rPr>
              <w:instrText xml:space="preserve"> PAGEREF _Toc233818281 \h </w:instrText>
            </w:r>
            <w:r>
              <w:rPr>
                <w:noProof/>
                <w:webHidden/>
              </w:rPr>
            </w:r>
            <w:r>
              <w:rPr>
                <w:noProof/>
                <w:webHidden/>
              </w:rPr>
              <w:fldChar w:fldCharType="separate"/>
            </w:r>
            <w:r>
              <w:rPr>
                <w:noProof/>
                <w:webHidden/>
              </w:rPr>
              <w:t>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2" w:history="1">
            <w:r w:rsidRPr="0012212C">
              <w:rPr>
                <w:rStyle w:val="Hyperlink"/>
                <w:noProof/>
              </w:rPr>
              <w:t>3.3 Layer 2: OS-Level Entra Login</w:t>
            </w:r>
            <w:r>
              <w:rPr>
                <w:noProof/>
                <w:webHidden/>
              </w:rPr>
              <w:tab/>
            </w:r>
            <w:r>
              <w:rPr>
                <w:noProof/>
                <w:webHidden/>
              </w:rPr>
              <w:fldChar w:fldCharType="begin"/>
            </w:r>
            <w:r>
              <w:rPr>
                <w:noProof/>
                <w:webHidden/>
              </w:rPr>
              <w:instrText xml:space="preserve"> PAGEREF _Toc233818282 \h </w:instrText>
            </w:r>
            <w:r>
              <w:rPr>
                <w:noProof/>
                <w:webHidden/>
              </w:rPr>
            </w:r>
            <w:r>
              <w:rPr>
                <w:noProof/>
                <w:webHidden/>
              </w:rPr>
              <w:fldChar w:fldCharType="separate"/>
            </w:r>
            <w:r>
              <w:rPr>
                <w:noProof/>
                <w:webHidden/>
              </w:rPr>
              <w:t>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3" w:history="1">
            <w:r w:rsidRPr="0012212C">
              <w:rPr>
                <w:rStyle w:val="Hyperlink"/>
                <w:noProof/>
              </w:rPr>
              <w:t>3.4 Why Arc, and Not the Alternatives</w:t>
            </w:r>
            <w:r>
              <w:rPr>
                <w:noProof/>
                <w:webHidden/>
              </w:rPr>
              <w:tab/>
            </w:r>
            <w:r>
              <w:rPr>
                <w:noProof/>
                <w:webHidden/>
              </w:rPr>
              <w:fldChar w:fldCharType="begin"/>
            </w:r>
            <w:r>
              <w:rPr>
                <w:noProof/>
                <w:webHidden/>
              </w:rPr>
              <w:instrText xml:space="preserve"> PAGEREF _Toc233818283 \h </w:instrText>
            </w:r>
            <w:r>
              <w:rPr>
                <w:noProof/>
                <w:webHidden/>
              </w:rPr>
            </w:r>
            <w:r>
              <w:rPr>
                <w:noProof/>
                <w:webHidden/>
              </w:rPr>
              <w:fldChar w:fldCharType="separate"/>
            </w:r>
            <w:r>
              <w:rPr>
                <w:noProof/>
                <w:webHidden/>
              </w:rPr>
              <w:t>7</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84" w:history="1">
            <w:r w:rsidRPr="0012212C">
              <w:rPr>
                <w:rStyle w:val="Hyperlink"/>
                <w:noProof/>
              </w:rPr>
              <w:t>4. NTLM Elimination</w:t>
            </w:r>
            <w:r>
              <w:rPr>
                <w:noProof/>
                <w:webHidden/>
              </w:rPr>
              <w:tab/>
            </w:r>
            <w:r>
              <w:rPr>
                <w:noProof/>
                <w:webHidden/>
              </w:rPr>
              <w:fldChar w:fldCharType="begin"/>
            </w:r>
            <w:r>
              <w:rPr>
                <w:noProof/>
                <w:webHidden/>
              </w:rPr>
              <w:instrText xml:space="preserve"> PAGEREF _Toc233818284 \h </w:instrText>
            </w:r>
            <w:r>
              <w:rPr>
                <w:noProof/>
                <w:webHidden/>
              </w:rPr>
            </w:r>
            <w:r>
              <w:rPr>
                <w:noProof/>
                <w:webHidden/>
              </w:rPr>
              <w:fldChar w:fldCharType="separate"/>
            </w:r>
            <w:r>
              <w:rPr>
                <w:noProof/>
                <w:webHidden/>
              </w:rPr>
              <w:t>7</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5" w:history="1">
            <w:r w:rsidRPr="0012212C">
              <w:rPr>
                <w:rStyle w:val="Hyperlink"/>
                <w:noProof/>
              </w:rPr>
              <w:t>4.1 Phase A — Discovery</w:t>
            </w:r>
            <w:r>
              <w:rPr>
                <w:noProof/>
                <w:webHidden/>
              </w:rPr>
              <w:tab/>
            </w:r>
            <w:r>
              <w:rPr>
                <w:noProof/>
                <w:webHidden/>
              </w:rPr>
              <w:fldChar w:fldCharType="begin"/>
            </w:r>
            <w:r>
              <w:rPr>
                <w:noProof/>
                <w:webHidden/>
              </w:rPr>
              <w:instrText xml:space="preserve"> PAGEREF _Toc233818285 \h </w:instrText>
            </w:r>
            <w:r>
              <w:rPr>
                <w:noProof/>
                <w:webHidden/>
              </w:rPr>
            </w:r>
            <w:r>
              <w:rPr>
                <w:noProof/>
                <w:webHidden/>
              </w:rPr>
              <w:fldChar w:fldCharType="separate"/>
            </w:r>
            <w:r>
              <w:rPr>
                <w:noProof/>
                <w:webHidden/>
              </w:rPr>
              <w:t>8</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6" w:history="1">
            <w:r w:rsidRPr="0012212C">
              <w:rPr>
                <w:rStyle w:val="Hyperlink"/>
                <w:noProof/>
              </w:rPr>
              <w:t>4.2 Phase B — Remediation</w:t>
            </w:r>
            <w:r>
              <w:rPr>
                <w:noProof/>
                <w:webHidden/>
              </w:rPr>
              <w:tab/>
            </w:r>
            <w:r>
              <w:rPr>
                <w:noProof/>
                <w:webHidden/>
              </w:rPr>
              <w:fldChar w:fldCharType="begin"/>
            </w:r>
            <w:r>
              <w:rPr>
                <w:noProof/>
                <w:webHidden/>
              </w:rPr>
              <w:instrText xml:space="preserve"> PAGEREF _Toc233818286 \h </w:instrText>
            </w:r>
            <w:r>
              <w:rPr>
                <w:noProof/>
                <w:webHidden/>
              </w:rPr>
            </w:r>
            <w:r>
              <w:rPr>
                <w:noProof/>
                <w:webHidden/>
              </w:rPr>
              <w:fldChar w:fldCharType="separate"/>
            </w:r>
            <w:r>
              <w:rPr>
                <w:noProof/>
                <w:webHidden/>
              </w:rPr>
              <w:t>8</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7" w:history="1">
            <w:r w:rsidRPr="0012212C">
              <w:rPr>
                <w:rStyle w:val="Hyperlink"/>
                <w:noProof/>
              </w:rPr>
              <w:t>4.3 Phase C — Domain-Wide Block</w:t>
            </w:r>
            <w:r>
              <w:rPr>
                <w:noProof/>
                <w:webHidden/>
              </w:rPr>
              <w:tab/>
            </w:r>
            <w:r>
              <w:rPr>
                <w:noProof/>
                <w:webHidden/>
              </w:rPr>
              <w:fldChar w:fldCharType="begin"/>
            </w:r>
            <w:r>
              <w:rPr>
                <w:noProof/>
                <w:webHidden/>
              </w:rPr>
              <w:instrText xml:space="preserve"> PAGEREF _Toc233818287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88" w:history="1">
            <w:r w:rsidRPr="0012212C">
              <w:rPr>
                <w:rStyle w:val="Hyperlink"/>
                <w:noProof/>
              </w:rPr>
              <w:t>5. The Login Migration</w:t>
            </w:r>
            <w:r>
              <w:rPr>
                <w:noProof/>
                <w:webHidden/>
              </w:rPr>
              <w:tab/>
            </w:r>
            <w:r>
              <w:rPr>
                <w:noProof/>
                <w:webHidden/>
              </w:rPr>
              <w:fldChar w:fldCharType="begin"/>
            </w:r>
            <w:r>
              <w:rPr>
                <w:noProof/>
                <w:webHidden/>
              </w:rPr>
              <w:instrText xml:space="preserve"> PAGEREF _Toc233818288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89" w:history="1">
            <w:r w:rsidRPr="0012212C">
              <w:rPr>
                <w:rStyle w:val="Hyperlink"/>
                <w:noProof/>
              </w:rPr>
              <w:t>5.1 Login Types and Migration Targets</w:t>
            </w:r>
            <w:r>
              <w:rPr>
                <w:noProof/>
                <w:webHidden/>
              </w:rPr>
              <w:tab/>
            </w:r>
            <w:r>
              <w:rPr>
                <w:noProof/>
                <w:webHidden/>
              </w:rPr>
              <w:fldChar w:fldCharType="begin"/>
            </w:r>
            <w:r>
              <w:rPr>
                <w:noProof/>
                <w:webHidden/>
              </w:rPr>
              <w:instrText xml:space="preserve"> PAGEREF _Toc233818289 \h </w:instrText>
            </w:r>
            <w:r>
              <w:rPr>
                <w:noProof/>
                <w:webHidden/>
              </w:rPr>
            </w:r>
            <w:r>
              <w:rPr>
                <w:noProof/>
                <w:webHidden/>
              </w:rPr>
              <w:fldChar w:fldCharType="separate"/>
            </w:r>
            <w:r>
              <w:rPr>
                <w:noProof/>
                <w:webHidden/>
              </w:rPr>
              <w:t>9</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0" w:history="1">
            <w:r w:rsidRPr="0012212C">
              <w:rPr>
                <w:rStyle w:val="Hyperlink"/>
                <w:noProof/>
              </w:rPr>
              <w:t>5.2 The Four-Phase Parallel Run</w:t>
            </w:r>
            <w:r>
              <w:rPr>
                <w:noProof/>
                <w:webHidden/>
              </w:rPr>
              <w:tab/>
            </w:r>
            <w:r>
              <w:rPr>
                <w:noProof/>
                <w:webHidden/>
              </w:rPr>
              <w:fldChar w:fldCharType="begin"/>
            </w:r>
            <w:r>
              <w:rPr>
                <w:noProof/>
                <w:webHidden/>
              </w:rPr>
              <w:instrText xml:space="preserve"> PAGEREF _Toc233818290 \h </w:instrText>
            </w:r>
            <w:r>
              <w:rPr>
                <w:noProof/>
                <w:webHidden/>
              </w:rPr>
            </w:r>
            <w:r>
              <w:rPr>
                <w:noProof/>
                <w:webHidden/>
              </w:rPr>
              <w:fldChar w:fldCharType="separate"/>
            </w:r>
            <w:r>
              <w:rPr>
                <w:noProof/>
                <w:webHidden/>
              </w:rPr>
              <w:t>10</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1" w:history="1">
            <w:r w:rsidRPr="0012212C">
              <w:rPr>
                <w:rStyle w:val="Hyperlink"/>
                <w:noProof/>
              </w:rPr>
              <w:t>5.3 The sa Account</w:t>
            </w:r>
            <w:r>
              <w:rPr>
                <w:noProof/>
                <w:webHidden/>
              </w:rPr>
              <w:tab/>
            </w:r>
            <w:r>
              <w:rPr>
                <w:noProof/>
                <w:webHidden/>
              </w:rPr>
              <w:fldChar w:fldCharType="begin"/>
            </w:r>
            <w:r>
              <w:rPr>
                <w:noProof/>
                <w:webHidden/>
              </w:rPr>
              <w:instrText xml:space="preserve"> PAGEREF _Toc233818291 \h </w:instrText>
            </w:r>
            <w:r>
              <w:rPr>
                <w:noProof/>
                <w:webHidden/>
              </w:rPr>
            </w:r>
            <w:r>
              <w:rPr>
                <w:noProof/>
                <w:webHidden/>
              </w:rPr>
              <w:fldChar w:fldCharType="separate"/>
            </w:r>
            <w:r>
              <w:rPr>
                <w:noProof/>
                <w:webHidden/>
              </w:rPr>
              <w:t>10</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2" w:history="1">
            <w:r w:rsidRPr="0012212C">
              <w:rPr>
                <w:rStyle w:val="Hyperlink"/>
                <w:noProof/>
              </w:rPr>
              <w:t>6. Access Control and the Entra Perimeter</w:t>
            </w:r>
            <w:r>
              <w:rPr>
                <w:noProof/>
                <w:webHidden/>
              </w:rPr>
              <w:tab/>
            </w:r>
            <w:r>
              <w:rPr>
                <w:noProof/>
                <w:webHidden/>
              </w:rPr>
              <w:fldChar w:fldCharType="begin"/>
            </w:r>
            <w:r>
              <w:rPr>
                <w:noProof/>
                <w:webHidden/>
              </w:rPr>
              <w:instrText xml:space="preserve"> PAGEREF _Toc233818292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3" w:history="1">
            <w:r w:rsidRPr="0012212C">
              <w:rPr>
                <w:rStyle w:val="Hyperlink"/>
                <w:noProof/>
              </w:rPr>
              <w:t>6.1 Entra Dynamic Groups as SQL Authorization Source</w:t>
            </w:r>
            <w:r>
              <w:rPr>
                <w:noProof/>
                <w:webHidden/>
              </w:rPr>
              <w:tab/>
            </w:r>
            <w:r>
              <w:rPr>
                <w:noProof/>
                <w:webHidden/>
              </w:rPr>
              <w:fldChar w:fldCharType="begin"/>
            </w:r>
            <w:r>
              <w:rPr>
                <w:noProof/>
                <w:webHidden/>
              </w:rPr>
              <w:instrText xml:space="preserve"> PAGEREF _Toc233818293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4" w:history="1">
            <w:r w:rsidRPr="0012212C">
              <w:rPr>
                <w:rStyle w:val="Hyperlink"/>
                <w:noProof/>
              </w:rPr>
              <w:t>6.2 Conditional Access Policies for SQL</w:t>
            </w:r>
            <w:r>
              <w:rPr>
                <w:noProof/>
                <w:webHidden/>
              </w:rPr>
              <w:tab/>
            </w:r>
            <w:r>
              <w:rPr>
                <w:noProof/>
                <w:webHidden/>
              </w:rPr>
              <w:fldChar w:fldCharType="begin"/>
            </w:r>
            <w:r>
              <w:rPr>
                <w:noProof/>
                <w:webHidden/>
              </w:rPr>
              <w:instrText xml:space="preserve"> PAGEREF _Toc233818294 \h </w:instrText>
            </w:r>
            <w:r>
              <w:rPr>
                <w:noProof/>
                <w:webHidden/>
              </w:rPr>
            </w:r>
            <w:r>
              <w:rPr>
                <w:noProof/>
                <w:webHidden/>
              </w:rPr>
              <w:fldChar w:fldCharType="separate"/>
            </w:r>
            <w:r>
              <w:rPr>
                <w:noProof/>
                <w:webHidden/>
              </w:rPr>
              <w:t>11</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5" w:history="1">
            <w:r w:rsidRPr="0012212C">
              <w:rPr>
                <w:rStyle w:val="Hyperlink"/>
                <w:noProof/>
              </w:rPr>
              <w:t>7. The Application Chain</w:t>
            </w:r>
            <w:r>
              <w:rPr>
                <w:noProof/>
                <w:webHidden/>
              </w:rPr>
              <w:tab/>
            </w:r>
            <w:r>
              <w:rPr>
                <w:noProof/>
                <w:webHidden/>
              </w:rPr>
              <w:fldChar w:fldCharType="begin"/>
            </w:r>
            <w:r>
              <w:rPr>
                <w:noProof/>
                <w:webHidden/>
              </w:rPr>
              <w:instrText xml:space="preserve"> PAGEREF _Toc233818295 \h </w:instrText>
            </w:r>
            <w:r>
              <w:rPr>
                <w:noProof/>
                <w:webHidden/>
              </w:rPr>
            </w:r>
            <w:r>
              <w:rPr>
                <w:noProof/>
                <w:webHidden/>
              </w:rPr>
              <w:fldChar w:fldCharType="separate"/>
            </w:r>
            <w:r>
              <w:rPr>
                <w:noProof/>
                <w:webHidden/>
              </w:rPr>
              <w:t>12</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6" w:history="1">
            <w:r w:rsidRPr="0012212C">
              <w:rPr>
                <w:rStyle w:val="Hyperlink"/>
                <w:noProof/>
              </w:rPr>
              <w:t>7.1 Application Authentication Classes</w:t>
            </w:r>
            <w:r>
              <w:rPr>
                <w:noProof/>
                <w:webHidden/>
              </w:rPr>
              <w:tab/>
            </w:r>
            <w:r>
              <w:rPr>
                <w:noProof/>
                <w:webHidden/>
              </w:rPr>
              <w:fldChar w:fldCharType="begin"/>
            </w:r>
            <w:r>
              <w:rPr>
                <w:noProof/>
                <w:webHidden/>
              </w:rPr>
              <w:instrText xml:space="preserve"> PAGEREF _Toc233818296 \h </w:instrText>
            </w:r>
            <w:r>
              <w:rPr>
                <w:noProof/>
                <w:webHidden/>
              </w:rPr>
            </w:r>
            <w:r>
              <w:rPr>
                <w:noProof/>
                <w:webHidden/>
              </w:rPr>
              <w:fldChar w:fldCharType="separate"/>
            </w:r>
            <w:r>
              <w:rPr>
                <w:noProof/>
                <w:webHidden/>
              </w:rPr>
              <w:t>12</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7" w:history="1">
            <w:r w:rsidRPr="0012212C">
              <w:rPr>
                <w:rStyle w:val="Hyperlink"/>
                <w:noProof/>
              </w:rPr>
              <w:t>7.2 Connection String Transformation</w:t>
            </w:r>
            <w:r>
              <w:rPr>
                <w:noProof/>
                <w:webHidden/>
              </w:rPr>
              <w:tab/>
            </w:r>
            <w:r>
              <w:rPr>
                <w:noProof/>
                <w:webHidden/>
              </w:rPr>
              <w:fldChar w:fldCharType="begin"/>
            </w:r>
            <w:r>
              <w:rPr>
                <w:noProof/>
                <w:webHidden/>
              </w:rPr>
              <w:instrText xml:space="preserve"> PAGEREF _Toc233818297 \h </w:instrText>
            </w:r>
            <w:r>
              <w:rPr>
                <w:noProof/>
                <w:webHidden/>
              </w:rPr>
            </w:r>
            <w:r>
              <w:rPr>
                <w:noProof/>
                <w:webHidden/>
              </w:rPr>
              <w:fldChar w:fldCharType="separate"/>
            </w:r>
            <w:r>
              <w:rPr>
                <w:noProof/>
                <w:webHidden/>
              </w:rPr>
              <w:t>13</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298" w:history="1">
            <w:r w:rsidRPr="0012212C">
              <w:rPr>
                <w:rStyle w:val="Hyperlink"/>
                <w:noProof/>
              </w:rPr>
              <w:t>7.3 Linked Server Migration</w:t>
            </w:r>
            <w:r>
              <w:rPr>
                <w:noProof/>
                <w:webHidden/>
              </w:rPr>
              <w:tab/>
            </w:r>
            <w:r>
              <w:rPr>
                <w:noProof/>
                <w:webHidden/>
              </w:rPr>
              <w:fldChar w:fldCharType="begin"/>
            </w:r>
            <w:r>
              <w:rPr>
                <w:noProof/>
                <w:webHidden/>
              </w:rPr>
              <w:instrText xml:space="preserve"> PAGEREF _Toc233818298 \h </w:instrText>
            </w:r>
            <w:r>
              <w:rPr>
                <w:noProof/>
                <w:webHidden/>
              </w:rPr>
            </w:r>
            <w:r>
              <w:rPr>
                <w:noProof/>
                <w:webHidden/>
              </w:rPr>
              <w:fldChar w:fldCharType="separate"/>
            </w:r>
            <w:r>
              <w:rPr>
                <w:noProof/>
                <w:webHidden/>
              </w:rPr>
              <w:t>13</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299" w:history="1">
            <w:r w:rsidRPr="0012212C">
              <w:rPr>
                <w:rStyle w:val="Hyperlink"/>
                <w:noProof/>
              </w:rPr>
              <w:t>8. The Transformed Posture</w:t>
            </w:r>
            <w:r>
              <w:rPr>
                <w:noProof/>
                <w:webHidden/>
              </w:rPr>
              <w:tab/>
            </w:r>
            <w:r>
              <w:rPr>
                <w:noProof/>
                <w:webHidden/>
              </w:rPr>
              <w:fldChar w:fldCharType="begin"/>
            </w:r>
            <w:r>
              <w:rPr>
                <w:noProof/>
                <w:webHidden/>
              </w:rPr>
              <w:instrText xml:space="preserve"> PAGEREF _Toc233818299 \h </w:instrText>
            </w:r>
            <w:r>
              <w:rPr>
                <w:noProof/>
                <w:webHidden/>
              </w:rPr>
            </w:r>
            <w:r>
              <w:rPr>
                <w:noProof/>
                <w:webHidden/>
              </w:rPr>
              <w:fldChar w:fldCharType="separate"/>
            </w:r>
            <w:r>
              <w:rPr>
                <w:noProof/>
                <w:webHidden/>
              </w:rPr>
              <w:t>14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0" w:history="1">
            <w:r w:rsidRPr="0012212C">
              <w:rPr>
                <w:rStyle w:val="Hyperlink"/>
                <w:noProof/>
              </w:rPr>
              <w:t>9. Certificate Authority and PKI Dependencies</w:t>
            </w:r>
            <w:r>
              <w:rPr>
                <w:noProof/>
                <w:webHidden/>
              </w:rPr>
              <w:tab/>
            </w:r>
            <w:r>
              <w:rPr>
                <w:noProof/>
                <w:webHidden/>
              </w:rPr>
              <w:fldChar w:fldCharType="begin"/>
            </w:r>
            <w:r>
              <w:rPr>
                <w:noProof/>
                <w:webHidden/>
              </w:rPr>
              <w:instrText xml:space="preserve"> PAGEREF _Toc233818300 \h </w:instrText>
            </w:r>
            <w:r>
              <w:rPr>
                <w:noProof/>
                <w:webHidden/>
              </w:rPr>
            </w:r>
            <w:r>
              <w:rPr>
                <w:noProof/>
                <w:webHidden/>
              </w:rPr>
              <w:fldChar w:fldCharType="separate"/>
            </w:r>
            <w:r>
              <w:rPr>
                <w:noProof/>
                <w:webHidden/>
              </w:rPr>
              <w:t>14</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1" w:history="1">
            <w:r w:rsidRPr="0012212C">
              <w:rPr>
                <w:rStyle w:val="Hyperlink"/>
                <w:noProof/>
              </w:rPr>
              <w:t>10. Database Platform Decisions</w:t>
            </w:r>
            <w:r>
              <w:rPr>
                <w:noProof/>
                <w:webHidden/>
              </w:rPr>
              <w:tab/>
            </w:r>
            <w:r>
              <w:rPr>
                <w:noProof/>
                <w:webHidden/>
              </w:rPr>
              <w:fldChar w:fldCharType="begin"/>
            </w:r>
            <w:r>
              <w:rPr>
                <w:noProof/>
                <w:webHidden/>
              </w:rPr>
              <w:instrText xml:space="preserve"> PAGEREF _Toc233818301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2" w:history="1">
            <w:r w:rsidRPr="0012212C">
              <w:rPr>
                <w:rStyle w:val="Hyperlink"/>
                <w:noProof/>
              </w:rPr>
              <w:t>10.1 PostgreSQL for New Workloads</w:t>
            </w:r>
            <w:r>
              <w:rPr>
                <w:noProof/>
                <w:webHidden/>
              </w:rPr>
              <w:tab/>
            </w:r>
            <w:r>
              <w:rPr>
                <w:noProof/>
                <w:webHidden/>
              </w:rPr>
              <w:fldChar w:fldCharType="begin"/>
            </w:r>
            <w:r>
              <w:rPr>
                <w:noProof/>
                <w:webHidden/>
              </w:rPr>
              <w:instrText xml:space="preserve"> PAGEREF _Toc233818302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3" w:history="1">
            <w:r w:rsidRPr="0012212C">
              <w:rPr>
                <w:rStyle w:val="Hyperlink"/>
                <w:noProof/>
              </w:rPr>
              <w:t>10.2 Azure SQL Managed Instance</w:t>
            </w:r>
            <w:r>
              <w:rPr>
                <w:noProof/>
                <w:webHidden/>
              </w:rPr>
              <w:tab/>
            </w:r>
            <w:r>
              <w:rPr>
                <w:noProof/>
                <w:webHidden/>
              </w:rPr>
              <w:fldChar w:fldCharType="begin"/>
            </w:r>
            <w:r>
              <w:rPr>
                <w:noProof/>
                <w:webHidden/>
              </w:rPr>
              <w:instrText xml:space="preserve"> PAGEREF _Toc233818303 \h </w:instrText>
            </w:r>
            <w:r>
              <w:rPr>
                <w:noProof/>
                <w:webHidden/>
              </w:rPr>
            </w:r>
            <w:r>
              <w:rPr>
                <w:noProof/>
                <w:webHidden/>
              </w:rPr>
              <w:fldChar w:fldCharType="separate"/>
            </w:r>
            <w:r>
              <w:rPr>
                <w:noProof/>
                <w:webHidden/>
              </w:rPr>
              <w:t>15</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4" w:history="1">
            <w:r w:rsidRPr="0012212C">
              <w:rPr>
                <w:rStyle w:val="Hyperlink"/>
                <w:noProof/>
              </w:rPr>
              <w:t>11. Federal Compliance Alignment</w:t>
            </w:r>
            <w:r>
              <w:rPr>
                <w:noProof/>
                <w:webHidden/>
              </w:rPr>
              <w:tab/>
            </w:r>
            <w:r>
              <w:rPr>
                <w:noProof/>
                <w:webHidden/>
              </w:rPr>
              <w:fldChar w:fldCharType="begin"/>
            </w:r>
            <w:r>
              <w:rPr>
                <w:noProof/>
                <w:webHidden/>
              </w:rPr>
              <w:instrText xml:space="preserve"> PAGEREF _Toc233818304 \h </w:instrText>
            </w:r>
            <w:r>
              <w:rPr>
                <w:noProof/>
                <w:webHidden/>
              </w:rPr>
            </w:r>
            <w:r>
              <w:rPr>
                <w:noProof/>
                <w:webHidden/>
              </w:rPr>
              <w:fldChar w:fldCharType="separate"/>
            </w:r>
            <w:r>
              <w:rPr>
                <w:noProof/>
                <w:webHidden/>
              </w:rPr>
              <w:t>16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5" w:history="1">
            <w:r w:rsidRPr="0012212C">
              <w:rPr>
                <w:rStyle w:val="Hyperlink"/>
                <w:noProof/>
              </w:rPr>
              <w:t>11.1 NIST SP 800-53 Rev 5 Control Closure</w:t>
            </w:r>
            <w:r>
              <w:rPr>
                <w:noProof/>
                <w:webHidden/>
              </w:rPr>
              <w:tab/>
            </w:r>
            <w:r>
              <w:rPr>
                <w:noProof/>
                <w:webHidden/>
              </w:rPr>
              <w:fldChar w:fldCharType="begin"/>
            </w:r>
            <w:r>
              <w:rPr>
                <w:noProof/>
                <w:webHidden/>
              </w:rPr>
              <w:instrText xml:space="preserve"> PAGEREF _Toc233818305 \h </w:instrText>
            </w:r>
            <w:r>
              <w:rPr>
                <w:noProof/>
                <w:webHidden/>
              </w:rPr>
            </w:r>
            <w:r>
              <w:rPr>
                <w:noProof/>
                <w:webHidden/>
              </w:rPr>
              <w:fldChar w:fldCharType="separate"/>
            </w:r>
            <w:r>
              <w:rPr>
                <w:noProof/>
                <w:webHidden/>
              </w:rPr>
              <w:t>16</w:t>
            </w:r>
            <w:r>
              <w:rPr>
                <w:noProof/>
                <w:webHidden/>
              </w:rPr>
              <w:fldChar w:fldCharType="end"/>
            </w:r>
          </w:hyperlink>
        </w:p>
        <w:p w:rsidR="00062A57" w:rsidRDefault="00062A57">
          <w:pPr>
            <w:pStyle w:val="TOC2"/>
            <w:tabs>
              <w:tab w:val="right" w:leader="dot" w:pos="9350"/>
            </w:tabs>
            <w:rPr>
              <w:noProof/>
              <w:kern w:val="2"/>
              <w:lang w:eastAsia="en-US"/>
              <w14:ligatures w14:val="standardContextual"/>
            </w:rPr>
          </w:pPr>
          <w:hyperlink w:anchor="_Toc233818306" w:history="1">
            <w:r w:rsidRPr="0012212C">
              <w:rPr>
                <w:rStyle w:val="Hyperlink"/>
                <w:noProof/>
              </w:rPr>
              <w:t>11.2 FedRAMP 20x Key Security Indicators</w:t>
            </w:r>
            <w:r>
              <w:rPr>
                <w:noProof/>
                <w:webHidden/>
              </w:rPr>
              <w:tab/>
            </w:r>
            <w:r>
              <w:rPr>
                <w:noProof/>
                <w:webHidden/>
              </w:rPr>
              <w:fldChar w:fldCharType="begin"/>
            </w:r>
            <w:r>
              <w:rPr>
                <w:noProof/>
                <w:webHidden/>
              </w:rPr>
              <w:instrText xml:space="preserve"> PAGEREF _Toc233818306 \h </w:instrText>
            </w:r>
            <w:r>
              <w:rPr>
                <w:noProof/>
                <w:webHidden/>
              </w:rPr>
            </w:r>
            <w:r>
              <w:rPr>
                <w:noProof/>
                <w:webHidden/>
              </w:rPr>
              <w:fldChar w:fldCharType="separate"/>
            </w:r>
            <w:r>
              <w:rPr>
                <w:noProof/>
                <w:webHidden/>
              </w:rPr>
              <w:t>17</w:t>
            </w:r>
            <w:r>
              <w:rPr>
                <w:noProof/>
                <w:webHidden/>
              </w:rPr>
              <w:fldChar w:fldCharType="end"/>
            </w:r>
          </w:hyperlink>
        </w:p>
        <w:p w:rsidR="00062A57" w:rsidRDefault="00062A57">
          <w:pPr>
            <w:pStyle w:val="TOC1"/>
            <w:tabs>
              <w:tab w:val="right" w:leader="dot" w:pos="9350"/>
            </w:tabs>
            <w:rPr>
              <w:noProof/>
              <w:kern w:val="2"/>
              <w:lang w:eastAsia="en-US"/>
              <w14:ligatures w14:val="standardContextual"/>
            </w:rPr>
          </w:pPr>
          <w:hyperlink w:anchor="_Toc233818307" w:history="1">
            <w:r w:rsidRPr="0012212C">
              <w:rPr>
                <w:rStyle w:val="Hyperlink"/>
                <w:noProof/>
              </w:rPr>
              <w:t>12. Summary</w:t>
            </w:r>
            <w:r>
              <w:rPr>
                <w:noProof/>
                <w:webHidden/>
              </w:rPr>
              <w:tab/>
            </w:r>
            <w:r>
              <w:rPr>
                <w:noProof/>
                <w:webHidden/>
              </w:rPr>
              <w:fldChar w:fldCharType="begin"/>
            </w:r>
            <w:r>
              <w:rPr>
                <w:noProof/>
                <w:webHidden/>
              </w:rPr>
              <w:instrText xml:space="preserve"> PAGEREF _Toc233818307 \h </w:instrText>
            </w:r>
            <w:r>
              <w:rPr>
                <w:noProof/>
                <w:webHidden/>
              </w:rPr>
            </w:r>
            <w:r>
              <w:rPr>
                <w:noProof/>
                <w:webHidden/>
              </w:rPr>
              <w:fldChar w:fldCharType="separate"/>
            </w:r>
            <w:r>
              <w:rPr>
                <w:noProof/>
                <w:webHidden/>
              </w:rPr>
              <w:t>18</w:t>
            </w:r>
            <w:r>
              <w:rPr>
                <w:noProof/>
                <w:webHidden/>
              </w:rPr>
              <w:fldChar w:fldCharType="end"/>
            </w:r>
          </w:hyperlink>
        </w:p>
        <w:p w:rsidR="00A50715" w:rsidRDefault="006A60F1">
          <w:r>
            <w:fldChar w:fldCharType="end"/>
          </w:r>
        </w:p>
      </w:sdtContent>
    </w:sdt>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rsidR="00A50715" w:rsidRDefault="006A60F1">
            <w:pPr>
              <w:pStyle w:val="FirstParagraph"/>
              <w:spacing w:before="0" w:after="0"/>
              <w:textAlignment w:val="center"/>
            </w:pPr>
            <w:r>
              <w:rPr>
                <w:rFonts w:ascii="Arial" w:hAnsi="Arial"/>
                <w:b/>
                <w:noProof/>
                <w:color w:val="FFFFFF"/>
                <w:sz w:val="20"/>
              </w:rPr>
              <w:drawing>
                <wp:inline distT="0" distB="0" distL="0" distR="0">
                  <wp:extent cx="304800" cy="3048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rsidR="00A50715" w:rsidRDefault="006A60F1">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4 of the Federal Application-Aware Networking series. Parts 1–3 cover Landing Zone IPAM/DDI/PKI, Telecommunications Modernization, and Network Modernization. This part addresses the authentication layer of SQL Server — the protocol, credential, and identity surface that persists after network controls are in place.</w:t>
            </w:r>
          </w:p>
          <w:p w:rsidR="00A50715" w:rsidRDefault="00A50715"/>
        </w:tc>
      </w:tr>
    </w:tbl>
    <w:p w:rsidR="00A50715" w:rsidRDefault="006A60F1">
      <w:pPr>
        <w:pStyle w:val="Heading1"/>
      </w:pPr>
      <w:bookmarkStart w:id="0" w:name="X142afd21372132076b94cb137f7104e9f8ff6c8"/>
      <w:bookmarkStart w:id="1" w:name="_Toc233818273"/>
      <w:r>
        <w:t>1. The Inherited Problem: What Kerberos Actually Does</w:t>
      </w:r>
      <w:bookmarkEnd w:id="1"/>
    </w:p>
    <w:p w:rsidR="00A50715" w:rsidRDefault="006A60F1">
      <w:pPr>
        <w:pStyle w:val="FirstParagraph"/>
      </w:pPr>
      <w:r>
        <w:t>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rsidR="00A50715" w:rsidRDefault="006A60F1">
      <w:pPr>
        <w:pStyle w:val="BodyText"/>
      </w:pPr>
      <w:r>
        <w:t>That world ended.</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2" w:name="fig-san01"/>
            <w:r>
              <w:rPr>
                <w:rFonts w:ascii="Arial" w:hAnsi="Arial"/>
                <w:b/>
                <w:noProof/>
                <w:color w:val="FFFFFF"/>
                <w:sz w:val="20"/>
              </w:rPr>
              <w:drawing>
                <wp:inline distT="0" distB="0" distL="0" distR="0">
                  <wp:extent cx="7772400" cy="246624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s/san-fig-01-kerberos-breaking.png"/>
                          <pic:cNvPicPr>
                            <a:picLocks noChangeAspect="1" noChangeArrowheads="1"/>
                          </pic:cNvPicPr>
                        </pic:nvPicPr>
                        <pic:blipFill>
                          <a:blip r:embed="rId6"/>
                          <a:stretch>
                            <a:fillRect/>
                          </a:stretch>
                        </pic:blipFill>
                        <pic:spPr bwMode="auto">
                          <a:xfrm>
                            <a:off x="0" y="0"/>
                            <a:ext cx="7772400" cy="2466242"/>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1: Kerberos authentication breaks when clients and servers span hybrid cloud, VPN, or multi-path SD-WAN boundaries. The KDC is unreachable or the ticket is invalid, forcing NTLM fallback.</w:t>
            </w:r>
          </w:p>
        </w:tc>
        <w:bookmarkEnd w:id="2"/>
      </w:tr>
    </w:tbl>
    <w:p w:rsidR="00A50715" w:rsidRDefault="006A60F1">
      <w:pPr>
        <w:pStyle w:val="BodyText"/>
      </w:pPr>
      <w:r>
        <w:t>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p w:rsidR="00A50715" w:rsidRDefault="006A60F1">
      <w:pPr>
        <w:pStyle w:val="Heading2"/>
      </w:pPr>
      <w:bookmarkStart w:id="3" w:name="what-kerberos-requires"/>
      <w:bookmarkStart w:id="4" w:name="_Toc233818274"/>
      <w:r>
        <w:t>1.1 What Kerberos Requires</w:t>
      </w:r>
      <w:bookmarkEnd w:id="4"/>
    </w:p>
    <w:p w:rsidR="00A50715" w:rsidRDefault="006A60F1">
      <w:pPr>
        <w:pStyle w:val="FirstParagraph"/>
      </w:pPr>
      <w:r>
        <w:t>Kerberos requires three things to work:</w:t>
      </w:r>
    </w:p>
    <w:p w:rsidR="00A50715" w:rsidRDefault="006A60F1">
      <w:pPr>
        <w:pStyle w:val="Compact"/>
        <w:numPr>
          <w:ilvl w:val="0"/>
          <w:numId w:val="2"/>
        </w:numPr>
      </w:pPr>
      <w:r>
        <w:rPr>
          <w:b/>
          <w:bCs/>
        </w:rPr>
        <w:t>A reachable KDC.</w:t>
      </w:r>
      <w:r>
        <w:t xml:space="preserve"> The client must reach a domain controller to obtain a ticket. Across cloud regions, SD-WAN paths, or VPN tunnels, this often fails silently.</w:t>
      </w:r>
    </w:p>
    <w:p w:rsidR="00A50715" w:rsidRDefault="006A60F1">
      <w:pPr>
        <w:pStyle w:val="Compact"/>
        <w:numPr>
          <w:ilvl w:val="0"/>
          <w:numId w:val="2"/>
        </w:numPr>
      </w:pPr>
      <w:r>
        <w:rPr>
          <w:b/>
          <w:bCs/>
        </w:rPr>
        <w:t>A correct SPN.</w:t>
      </w:r>
      <w:r>
        <w:t xml:space="preserve"> SQL Server must have a correctly registered Service Principal Name (SPN) in Active Directory. Missing or duplicate SPNs force NTLM fallback.</w:t>
      </w:r>
    </w:p>
    <w:p w:rsidR="00A50715" w:rsidRDefault="006A60F1">
      <w:pPr>
        <w:pStyle w:val="Compact"/>
        <w:numPr>
          <w:ilvl w:val="0"/>
          <w:numId w:val="2"/>
        </w:numPr>
      </w:pPr>
      <w:r>
        <w:rPr>
          <w:b/>
          <w:bCs/>
        </w:rPr>
        <w:t>Clock synchronization.</w:t>
      </w:r>
      <w:r>
        <w:t xml:space="preserve"> Kerberos tickets expire at five minutes of clock skew. In hybrid cloud environments, NTP disciplining is not always consistent.</w:t>
      </w:r>
    </w:p>
    <w:p w:rsidR="00A50715" w:rsidRDefault="006A60F1">
      <w:pPr>
        <w:pStyle w:val="FirstParagraph"/>
      </w:pPr>
      <w:r>
        <w:t>When any of these three conditions fail, Windows drops to NTLM. NTLM is a challenge-response protocol: it works without a KDC, without an SPN, and without clock sync. It also cannot be monitored, cannot emit token-level audit events, and cannot be gated by Conditional Access.</w:t>
      </w:r>
    </w:p>
    <w:p w:rsidR="00A50715" w:rsidRDefault="006A60F1">
      <w:pPr>
        <w:pStyle w:val="Heading2"/>
      </w:pPr>
      <w:bookmarkStart w:id="5" w:name="the-ntlm-problem"/>
      <w:bookmarkStart w:id="6" w:name="_Toc233818275"/>
      <w:bookmarkEnd w:id="3"/>
      <w:r>
        <w:t>1.2 The NTLM Problem</w:t>
      </w:r>
      <w:bookmarkEnd w:id="6"/>
    </w:p>
    <w:p w:rsidR="00A50715" w:rsidRDefault="006A60F1">
      <w:pPr>
        <w:pStyle w:val="FirstParagraph"/>
      </w:pPr>
      <w:r>
        <w:t>NTLM is not merely a legacy protocol. It is an active compliance gap:</w:t>
      </w:r>
    </w:p>
    <w:p w:rsidR="00A50715" w:rsidRDefault="006A60F1">
      <w:pPr>
        <w:pStyle w:val="Compact"/>
        <w:numPr>
          <w:ilvl w:val="0"/>
          <w:numId w:val="3"/>
        </w:numPr>
      </w:pPr>
      <w:r>
        <w:rPr>
          <w:b/>
          <w:bCs/>
        </w:rPr>
        <w:t>Audit opacity.</w:t>
      </w:r>
      <w:r>
        <w:t xml:space="preserve"> </w:t>
      </w:r>
      <w:r>
        <w:t>NTLM authentication does not produce token-level event records that SIEM systems can correlate. It produces a successful logon event with no cryptographic binding to a specific user device or location.</w:t>
      </w:r>
    </w:p>
    <w:p w:rsidR="00A50715" w:rsidRDefault="006A60F1">
      <w:pPr>
        <w:pStyle w:val="Compact"/>
        <w:numPr>
          <w:ilvl w:val="0"/>
          <w:numId w:val="3"/>
        </w:numPr>
      </w:pPr>
      <w:r>
        <w:rPr>
          <w:b/>
          <w:bCs/>
        </w:rPr>
        <w:t>Pass-the-hash.</w:t>
      </w:r>
      <w:r>
        <w:t xml:space="preserve"> NTLM credentials can be captured in memory and replayed without knowing the password. Kerberos tickets are scoped to a service and time window; NTLM hashes are reusable indefinitely.</w:t>
      </w:r>
    </w:p>
    <w:p w:rsidR="00A50715" w:rsidRDefault="006A60F1">
      <w:pPr>
        <w:pStyle w:val="Compact"/>
        <w:numPr>
          <w:ilvl w:val="0"/>
          <w:numId w:val="3"/>
        </w:numPr>
      </w:pPr>
      <w:r>
        <w:rPr>
          <w:b/>
          <w:bCs/>
        </w:rPr>
        <w:t>No Conditional Access.</w:t>
      </w:r>
      <w:r>
        <w:t xml:space="preserve"> </w:t>
      </w:r>
      <w:r>
        <w:t>NTLM bypasses Entra ID Conditional Access entirely. A machine compliance check, MFA requirement, or location policy cannot intercept an NTLM authentication.</w:t>
      </w:r>
    </w:p>
    <w:p w:rsidR="00A50715" w:rsidRDefault="006A60F1">
      <w:pPr>
        <w:pStyle w:val="Compact"/>
        <w:numPr>
          <w:ilvl w:val="0"/>
          <w:numId w:val="3"/>
        </w:numPr>
      </w:pPr>
      <w:r>
        <w:rPr>
          <w:b/>
          <w:bCs/>
        </w:rPr>
        <w:t>BOD 25-01 and OMB M-22-09.</w:t>
      </w:r>
      <w:r>
        <w:t xml:space="preserve"> Both directives require elimination of NTLM in federal environments. The transition from Kerberos to Entra ID token-based authentication is the mechanism, not the goal. The goal is the elimination of NTLM.</w:t>
      </w:r>
    </w:p>
    <w:p w:rsidR="00A50715" w:rsidRDefault="006A60F1">
      <w:pPr>
        <w:pStyle w:val="Heading1"/>
      </w:pPr>
      <w:bookmarkStart w:id="7" w:name="the-estate-what-must-be-discovered"/>
      <w:bookmarkStart w:id="8" w:name="_Toc233818276"/>
      <w:bookmarkEnd w:id="0"/>
      <w:bookmarkEnd w:id="5"/>
      <w:r>
        <w:t>2. The Estate: What Must Be Discovered</w:t>
      </w:r>
      <w:bookmarkEnd w:id="8"/>
    </w:p>
    <w:p w:rsidR="00A50715" w:rsidRDefault="006A60F1">
      <w:pPr>
        <w:pStyle w:val="FirstParagraph"/>
      </w:pPr>
      <w:r>
        <w:t>Before any migration can begin, the SQL Server estate must be fully inventoried. This is not a documentation exercise. The inventory drives every subsequent decision about which instances are retained, which are consolidated, and which are retired.</w:t>
      </w:r>
    </w:p>
    <w:p w:rsidR="00A50715" w:rsidRDefault="006A60F1">
      <w:pPr>
        <w:pStyle w:val="Heading2"/>
      </w:pPr>
      <w:bookmarkStart w:id="9" w:name="discovery-dimensions"/>
      <w:bookmarkStart w:id="10" w:name="_Toc233818277"/>
      <w:r>
        <w:t>2.1 Discovery Dimensions</w:t>
      </w:r>
      <w:bookmarkEnd w:id="10"/>
    </w:p>
    <w:p w:rsidR="00A50715" w:rsidRDefault="006A60F1">
      <w:pPr>
        <w:pStyle w:val="FirstParagraph"/>
      </w:pPr>
      <w:r>
        <w:t>An effective SQL Server estate discovery captures four dimensions for every instance:</w:t>
      </w:r>
    </w:p>
    <w:p w:rsidR="00A50715" w:rsidRDefault="006A60F1">
      <w:pPr>
        <w:pStyle w:val="BodyText"/>
      </w:pPr>
      <w:r>
        <w:rPr>
          <w:b/>
          <w:bCs/>
        </w:rPr>
        <w:t>Version and end-of-life posture.</w:t>
      </w:r>
      <w:r>
        <w:t xml:space="preserve"> </w:t>
      </w:r>
      <w:r>
        <w:t>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rsidR="00A50715" w:rsidRDefault="006A60F1">
      <w:pPr>
        <w:pStyle w:val="BodyText"/>
      </w:pPr>
      <w:r>
        <w:rPr>
          <w:b/>
          <w:bCs/>
        </w:rPr>
        <w:t>Authentication methods in use.</w:t>
      </w:r>
      <w:r>
        <w:t xml:space="preserve"> </w:t>
      </w:r>
      <w:r>
        <w:t>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rsidR="00A50715" w:rsidRDefault="006A60F1">
      <w:pPr>
        <w:pStyle w:val="BodyText"/>
      </w:pPr>
      <w:r>
        <w:rPr>
          <w:b/>
          <w:bCs/>
        </w:rPr>
        <w:t>Service Principal Name registration.</w:t>
      </w:r>
      <w:r>
        <w:t xml:space="preserve"> </w:t>
      </w:r>
      <w:r>
        <w:t>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rsidR="00A50715" w:rsidRDefault="006A60F1">
      <w:pPr>
        <w:pStyle w:val="BodyText"/>
      </w:pPr>
      <w:r>
        <w:rPr>
          <w:b/>
          <w:bCs/>
        </w:rPr>
        <w:t>Dependency mapping.</w:t>
      </w:r>
      <w:r>
        <w:t xml:space="preserve"> </w:t>
      </w:r>
      <w:r>
        <w:t>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p w:rsidR="00A50715" w:rsidRDefault="006A60F1">
      <w:pPr>
        <w:pStyle w:val="Heading2"/>
      </w:pPr>
      <w:bookmarkStart w:id="11" w:name="the-consolidation-gate"/>
      <w:bookmarkStart w:id="12" w:name="_Toc233818278"/>
      <w:bookmarkEnd w:id="9"/>
      <w:r>
        <w:t>2.2 The Consolidation Gate</w:t>
      </w:r>
      <w:bookmarkEnd w:id="12"/>
    </w:p>
    <w:p w:rsidR="00A50715" w:rsidRDefault="006A60F1">
      <w:pPr>
        <w:pStyle w:val="FirstParagraph"/>
      </w:pPr>
      <w:r>
        <w:t>The inventory drives a consolidation gate before any technical migration begins. Every instance is assessed against three lenses:</w:t>
      </w:r>
    </w:p>
    <w:p w:rsidR="00A50715" w:rsidRDefault="006A60F1">
      <w:pPr>
        <w:pStyle w:val="BodyText"/>
      </w:pPr>
      <w:r>
        <w:rPr>
          <w:b/>
          <w:bCs/>
        </w:rPr>
        <w:t>Utilization and zombie detection.</w:t>
      </w:r>
      <w:r>
        <w:t xml:space="preserve"> </w:t>
      </w:r>
      <w:r>
        <w:t>Instances with no connections in 90 days, low sustained CPU, or no identifiable owning application are zombie candidates. Zombie instances are decommissioned — they cannot be migrated to a posture that doesn’t exist.</w:t>
      </w:r>
    </w:p>
    <w:p w:rsidR="00A50715" w:rsidRDefault="006A60F1">
      <w:pPr>
        <w:pStyle w:val="BodyText"/>
      </w:pPr>
      <w:r>
        <w:rPr>
          <w:b/>
          <w:bCs/>
        </w:rPr>
        <w:t>Version and supportability.</w:t>
      </w:r>
      <w:r>
        <w:t xml:space="preserve"> Instances below SQL Server 2019 that cannot be upgraded in-place are candidates for migration to Azure SQL Managed Instance or PostgreSQL, depending on workload characteristics.</w:t>
      </w:r>
    </w:p>
    <w:p w:rsidR="00A50715" w:rsidRDefault="006A60F1">
      <w:pPr>
        <w:pStyle w:val="BodyText"/>
      </w:pPr>
      <w:r>
        <w:rPr>
          <w:b/>
          <w:bCs/>
        </w:rPr>
        <w:t>Dependency analysis.</w:t>
      </w:r>
      <w:r>
        <w:t xml:space="preserve"> </w:t>
      </w:r>
      <w:r>
        <w:t>Instances with cross-instance linked servers require a migration sequence that respects dependency order. An instance that is a linked-server target for three other instances cannot be migrated until the other three are migrated first.</w:t>
      </w:r>
    </w:p>
    <w:p w:rsidR="00A50715" w:rsidRDefault="006A60F1">
      <w:pPr>
        <w:pStyle w:val="BodyText"/>
      </w:pPr>
      <w:r>
        <w:t>Instances that survive the consolidation gate proceed to authentication modernization. Instances that do not survive are documented and decommissioned per change management policy.</w:t>
      </w:r>
    </w:p>
    <w:p w:rsidR="00A50715" w:rsidRDefault="006A60F1">
      <w:pPr>
        <w:pStyle w:val="Heading1"/>
      </w:pPr>
      <w:bookmarkStart w:id="13" w:name="arc-as-the-identity-bridge"/>
      <w:bookmarkStart w:id="14" w:name="_Toc233818279"/>
      <w:bookmarkEnd w:id="7"/>
      <w:bookmarkEnd w:id="11"/>
      <w:r>
        <w:t>3. Arc as the Identity Bridge</w:t>
      </w:r>
      <w:bookmarkEnd w:id="14"/>
    </w:p>
    <w:p w:rsidR="00A50715" w:rsidRDefault="006A60F1">
      <w:pPr>
        <w:pStyle w:val="FirstParagraph"/>
      </w:pPr>
      <w:r>
        <w:t>Azure Arc resolves the SQL Server authentication problem in the most direct way possible: it replaces the domain credential entirely.</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15" w:name="fig-san02"/>
            <w:r>
              <w:rPr>
                <w:rFonts w:ascii="Arial" w:hAnsi="Arial"/>
                <w:b/>
                <w:noProof/>
                <w:color w:val="FFFFFF"/>
                <w:sz w:val="20"/>
              </w:rPr>
              <w:drawing>
                <wp:inline distT="0" distB="0" distL="0" distR="0">
                  <wp:extent cx="7772400" cy="2615712"/>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s/san-fig-02-arc-managed-identity.png"/>
                          <pic:cNvPicPr>
                            <a:picLocks noChangeAspect="1" noChangeArrowheads="1"/>
                          </pic:cNvPicPr>
                        </pic:nvPicPr>
                        <pic:blipFill>
                          <a:blip r:embed="rId7"/>
                          <a:stretch>
                            <a:fillRect/>
                          </a:stretch>
                        </pic:blipFill>
                        <pic:spPr bwMode="auto">
                          <a:xfrm>
                            <a:off x="0" y="0"/>
                            <a:ext cx="7772400" cy="2615712"/>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2: Azure Arc provides a system-assigned Managed Identity — no stored password, no rotation, no human-visible credential. Layer 1 targets SQL Engine authentication; Layer 2 targets OS-level Entra login.</w:t>
            </w:r>
          </w:p>
        </w:tc>
        <w:bookmarkEnd w:id="15"/>
      </w:tr>
    </w:tbl>
    <w:p w:rsidR="00A50715" w:rsidRDefault="006A60F1">
      <w:pPr>
        <w:pStyle w:val="Heading2"/>
      </w:pPr>
      <w:bookmarkStart w:id="16" w:name="what-arc-provides"/>
      <w:bookmarkStart w:id="17" w:name="_Toc233818280"/>
      <w:r>
        <w:t>3.1 What Arc Provides</w:t>
      </w:r>
      <w:bookmarkEnd w:id="17"/>
    </w:p>
    <w:p w:rsidR="00A50715" w:rsidRDefault="006A60F1">
      <w:pPr>
        <w:pStyle w:val="FirstParagraph"/>
      </w:pPr>
      <w:r>
        <w:t xml:space="preserve">An Azure Arc agent installed on a Windows Server gives that server a </w:t>
      </w:r>
      <w:r>
        <w:rPr>
          <w:b/>
          <w:bCs/>
        </w:rPr>
        <w:t>system-assigned Managed Identity</w:t>
      </w:r>
      <w:r>
        <w:t xml:space="preserve"> </w:t>
      </w:r>
      <w:r>
        <w:t>— a cloud-native identity backed by a certificate in the local store. The certificate is automatically rotated every 90 days. No human ever sees the certificate or its private key. No password is stored in a vault, a connection string, or a service account profile.</w:t>
      </w:r>
    </w:p>
    <w:p w:rsidR="00A50715" w:rsidRDefault="006A60F1">
      <w:pPr>
        <w:pStyle w:val="BodyText"/>
      </w:pPr>
      <w:r>
        <w:t>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p w:rsidR="00A50715" w:rsidRDefault="006A60F1">
      <w:pPr>
        <w:pStyle w:val="Heading2"/>
      </w:pPr>
      <w:bookmarkStart w:id="18" w:name="layer-1-sql-engine-authentication"/>
      <w:bookmarkStart w:id="19" w:name="_Toc233818281"/>
      <w:bookmarkEnd w:id="16"/>
      <w:r>
        <w:t>3.2 Layer 1: SQL Engine Authentication</w:t>
      </w:r>
      <w:bookmarkEnd w:id="19"/>
    </w:p>
    <w:p w:rsidR="00A50715" w:rsidRDefault="006A60F1">
      <w:pPr>
        <w:pStyle w:val="FirstParagraph"/>
      </w:pPr>
      <w:r>
        <w:t>The first authentication layer is SQL Engine authentication. This is what most SQL Server migration programs target: replacing Windows Integrated Authentication and SQL logins with Entra ID authentication at the database connection level.</w:t>
      </w:r>
    </w:p>
    <w:p w:rsidR="00A50715" w:rsidRDefault="006A60F1">
      <w:pPr>
        <w:pStyle w:val="BodyText"/>
      </w:pPr>
      <w:r>
        <w:rPr>
          <w:b/>
          <w:bCs/>
        </w:rPr>
        <w:t>Requirements:</w:t>
      </w:r>
      <w:r>
        <w:t xml:space="preserve"> SQL Server 2022 (or SQL Server 2019 with the Entra extension), Azure Arc agent installed on the host, domain-joined Windows Server 2019 or later. The host does not need to be domain-unjoined for Layer 1.</w:t>
      </w:r>
    </w:p>
    <w:p w:rsidR="00A50715" w:rsidRDefault="006A60F1">
      <w:pPr>
        <w:pStyle w:val="BodyText"/>
      </w:pPr>
      <w:r>
        <w:rPr>
          <w:b/>
          <w:bCs/>
        </w:rPr>
        <w:t>What changes:</w:t>
      </w:r>
      <w:r>
        <w:t xml:space="preserve"> </w:t>
      </w:r>
      <w:r>
        <w:t xml:space="preserve">Database logins are migrated from Windows logins (authenticated via Kerberos/NTLM) and SQL logins (authenticated via stored password) to Entra logins (authenticated via token). Applications authenticate using </w:t>
      </w:r>
      <w:r>
        <w:rPr>
          <w:rStyle w:val="VerbatimChar"/>
        </w:rPr>
        <w:t>DefaultAzureCredential</w:t>
      </w:r>
      <w:r>
        <w:t xml:space="preserve">, </w:t>
      </w:r>
      <w:r>
        <w:rPr>
          <w:rStyle w:val="VerbatimChar"/>
        </w:rPr>
        <w:t>ManagedIdentityCredential</w:t>
      </w:r>
      <w:r>
        <w:t xml:space="preserve">, or an equivalent token provider in the Azure Identity SDK. Connection strings change from </w:t>
      </w:r>
      <w:r>
        <w:rPr>
          <w:rStyle w:val="VerbatimChar"/>
        </w:rPr>
        <w:t>Integrated Security=SSPI</w:t>
      </w:r>
      <w:r>
        <w:t xml:space="preserve"> to </w:t>
      </w:r>
      <w:r>
        <w:rPr>
          <w:rStyle w:val="VerbatimChar"/>
        </w:rPr>
        <w:t>Authentication=Active Directory Default</w:t>
      </w:r>
      <w:r>
        <w:t>.</w:t>
      </w:r>
    </w:p>
    <w:p w:rsidR="00A50715" w:rsidRDefault="006A60F1">
      <w:pPr>
        <w:pStyle w:val="BodyText"/>
      </w:pPr>
      <w:r>
        <w:rPr>
          <w:b/>
          <w:bCs/>
        </w:rPr>
        <w:t>What stays the same:</w:t>
      </w:r>
      <w:r>
        <w:t xml:space="preserve"> </w:t>
      </w:r>
      <w:r>
        <w:t>The host remains domain-joined. Group Policy still applies. SQL Server configuration is unchanged except for the authentication extension. The transition is transparent to the SQL Engine itself.</w:t>
      </w:r>
    </w:p>
    <w:p w:rsidR="00A50715" w:rsidRDefault="006A60F1">
      <w:pPr>
        <w:pStyle w:val="Heading2"/>
      </w:pPr>
      <w:bookmarkStart w:id="20" w:name="layer-2-os-level-entra-login"/>
      <w:bookmarkStart w:id="21" w:name="_Toc233818282"/>
      <w:bookmarkEnd w:id="18"/>
      <w:r>
        <w:t>3.3 Layer 2: OS-Level Entra Login</w:t>
      </w:r>
      <w:bookmarkEnd w:id="21"/>
    </w:p>
    <w:p w:rsidR="00A50715" w:rsidRDefault="006A60F1">
      <w:pPr>
        <w:pStyle w:val="FirstParagraph"/>
      </w:pPr>
      <w:r>
        <w:t>The second authentication layer is operating system login. This is a more significant transition: the Windows Server host is domain-unjoined and configured for Entra-native OS authentication.</w:t>
      </w:r>
    </w:p>
    <w:p w:rsidR="00A50715" w:rsidRDefault="006A60F1">
      <w:pPr>
        <w:pStyle w:val="BodyText"/>
      </w:pPr>
      <w:r>
        <w:rPr>
          <w:b/>
          <w:bCs/>
        </w:rPr>
        <w:t>Requirements:</w:t>
      </w:r>
      <w:r>
        <w:t xml:space="preserve"> </w:t>
      </w:r>
      <w:r>
        <w:t>Windows Server 2025 (the first version with stable Entra ID OS login), domain unjoin, Entra ID Joined enrollment (Entra Join, not Hybrid Join). This is a distinct migration program from Layer 1 and is typically sequenced after all SQL Engine authentication is migrated.</w:t>
      </w:r>
    </w:p>
    <w:p w:rsidR="00A50715" w:rsidRDefault="006A60F1">
      <w:pPr>
        <w:pStyle w:val="BodyText"/>
      </w:pPr>
      <w:r>
        <w:rPr>
          <w:b/>
          <w:bCs/>
        </w:rPr>
        <w:t>What changes:</w:t>
      </w:r>
      <w:r>
        <w:t xml:space="preserve"> </w:t>
      </w:r>
      <w:r>
        <w:t>OS logins move from AD user accounts to Entra accounts. RDP and local console access is authenticated against Entra. Group Policy is replaced by Intune or equivalent MDM. The server no longer requires connectivity to an on-premises domain controller.</w:t>
      </w:r>
    </w:p>
    <w:p w:rsidR="00A50715" w:rsidRDefault="006A60F1">
      <w:pPr>
        <w:pStyle w:val="BodyText"/>
      </w:pPr>
      <w:r>
        <w:t>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p w:rsidR="00A50715" w:rsidRDefault="006A60F1">
      <w:pPr>
        <w:pStyle w:val="Heading2"/>
      </w:pPr>
      <w:bookmarkStart w:id="22" w:name="why-arc-and-not-the-alternatives"/>
      <w:bookmarkStart w:id="23" w:name="_Toc233818283"/>
      <w:bookmarkEnd w:id="20"/>
      <w:r>
        <w:t>3.4 Why Arc, and Not the Alternatives</w:t>
      </w:r>
      <w:bookmarkEnd w:id="23"/>
    </w:p>
    <w:p w:rsidR="00A50715" w:rsidRDefault="006A60F1">
      <w:pPr>
        <w:pStyle w:val="FirstParagraph"/>
      </w:pPr>
      <w:r>
        <w:t>Four alternatives to Arc Managed Identity are commonly proposed. Each has a disqualifying limitation:</w:t>
      </w:r>
    </w:p>
    <w:p w:rsidR="00A50715" w:rsidRDefault="006A60F1">
      <w:pPr>
        <w:pStyle w:val="BodyText"/>
      </w:pPr>
      <w:r>
        <w:rPr>
          <w:b/>
          <w:bCs/>
        </w:rPr>
        <w:t>Group Managed Service Accounts (gMSA).</w:t>
      </w:r>
      <w:r>
        <w:t xml:space="preserve"> </w:t>
      </w:r>
      <w:r>
        <w:t>gMSAs automate password rotation for service accounts. They do not eliminate the dependency on Active Directory — they are an AD construct. Migrating to gMSA re-anchors the service account to the same AD being retired.</w:t>
      </w:r>
    </w:p>
    <w:p w:rsidR="00A50715" w:rsidRDefault="006A60F1">
      <w:pPr>
        <w:pStyle w:val="BodyText"/>
      </w:pPr>
      <w:r>
        <w:rPr>
          <w:b/>
          <w:bCs/>
        </w:rPr>
        <w:t>Vault-managed Service Principals.</w:t>
      </w:r>
      <w:r>
        <w:t xml:space="preserve"> </w:t>
      </w:r>
      <w:r>
        <w:t>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rsidR="00A50715" w:rsidRDefault="006A60F1">
      <w:pPr>
        <w:pStyle w:val="BodyText"/>
      </w:pPr>
      <w:r>
        <w:rPr>
          <w:b/>
          <w:bCs/>
        </w:rPr>
        <w:t>Certificate-Based Authentication.</w:t>
      </w:r>
      <w:r>
        <w:t xml:space="preserve"> </w:t>
      </w:r>
      <w:r>
        <w:t>CBA is an improvement over passwords — certificates can be scoped and time-limited. But certificate distribution, trust chain management, and revocation infrastructure are operational burdens at scale. CBA is a reasonable interim posture, not a target architecture.</w:t>
      </w:r>
    </w:p>
    <w:p w:rsidR="00A50715" w:rsidRDefault="006A60F1">
      <w:pPr>
        <w:pStyle w:val="BodyText"/>
      </w:pPr>
      <w:r>
        <w:rPr>
          <w:b/>
          <w:bCs/>
        </w:rPr>
        <w:t>Arc Managed Identity.</w:t>
      </w:r>
      <w:r>
        <w:t xml:space="preserve"> The sole credential-free, cloud-native option. No stored secret, no rotation burden, no AD dependency. The certificate is managed by the Arc agent and is not accessible to any user or process outside the agent context.</w:t>
      </w:r>
    </w:p>
    <w:p w:rsidR="00A50715" w:rsidRDefault="006A60F1">
      <w:pPr>
        <w:pStyle w:val="Heading1"/>
      </w:pPr>
      <w:bookmarkStart w:id="24" w:name="ntlm-elimination"/>
      <w:bookmarkStart w:id="25" w:name="_Toc233818284"/>
      <w:bookmarkEnd w:id="13"/>
      <w:bookmarkEnd w:id="22"/>
      <w:r>
        <w:t>4. NTLM Elimination</w:t>
      </w:r>
      <w:bookmarkEnd w:id="25"/>
    </w:p>
    <w:p w:rsidR="00A50715" w:rsidRDefault="006A60F1">
      <w:pPr>
        <w:pStyle w:val="FirstParagraph"/>
      </w:pPr>
      <w:r>
        <w:t>NTLM elimination is a three-phase program. Each phase has measurable exit criteria. Phases do not overlap — Phase B does not begin until Phase A is complete across the in-scope estate.</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26" w:name="fig-san03"/>
            <w:r>
              <w:rPr>
                <w:rFonts w:ascii="Arial" w:hAnsi="Arial"/>
                <w:b/>
                <w:noProof/>
                <w:color w:val="FFFFFF"/>
                <w:sz w:val="20"/>
              </w:rPr>
              <w:drawing>
                <wp:inline distT="0" distB="0" distL="0" distR="0">
                  <wp:extent cx="7772400" cy="332569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s/san-fig-03-ntlm-elimination.png"/>
                          <pic:cNvPicPr>
                            <a:picLocks noChangeAspect="1" noChangeArrowheads="1"/>
                          </pic:cNvPicPr>
                        </pic:nvPicPr>
                        <pic:blipFill>
                          <a:blip r:embed="rId8"/>
                          <a:stretch>
                            <a:fillRect/>
                          </a:stretch>
                        </pic:blipFill>
                        <pic:spPr bwMode="auto">
                          <a:xfrm>
                            <a:off x="0" y="0"/>
                            <a:ext cx="7772400" cy="3325690"/>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3: NTLM elimination runs in three sequential phases: discovery, remediation, and domain-wide block. Each phase has measurable exit criteria before the next begins.</w:t>
            </w:r>
          </w:p>
        </w:tc>
        <w:bookmarkEnd w:id="26"/>
      </w:tr>
    </w:tbl>
    <w:p w:rsidR="00A50715" w:rsidRDefault="006A60F1">
      <w:pPr>
        <w:pStyle w:val="Heading2"/>
      </w:pPr>
      <w:bookmarkStart w:id="27" w:name="phase-a-discovery"/>
      <w:bookmarkStart w:id="28" w:name="_Toc233818285"/>
      <w:r>
        <w:t>4.1 Phase A — Discovery</w:t>
      </w:r>
      <w:bookmarkEnd w:id="28"/>
    </w:p>
    <w:p w:rsidR="00A50715" w:rsidRDefault="006A60F1">
      <w:pPr>
        <w:pStyle w:val="FirstParagraph"/>
      </w:pPr>
      <w:r>
        <w:t>Phase A maps every NTLM source in the SQL Server estate. The output is a structured list of NTLM-generating patterns, each classified by root cause.</w:t>
      </w:r>
    </w:p>
    <w:p w:rsidR="00A50715" w:rsidRDefault="006A60F1">
      <w:pPr>
        <w:pStyle w:val="BodyText"/>
      </w:pPr>
      <w:r>
        <w:rPr>
          <w:b/>
          <w:bCs/>
        </w:rPr>
        <w:t>Event log analysis.</w:t>
      </w:r>
      <w:r>
        <w:t xml:space="preserve"> Windows Security log Event IDs 4624 (successful logon) and 4625 (failed logon) are analyzed for authentication type. NTLM logon events have </w:t>
      </w:r>
      <w:r>
        <w:rPr>
          <w:rStyle w:val="VerbatimChar"/>
        </w:rPr>
        <w:t>LogonType = 3</w:t>
      </w:r>
      <w:r>
        <w:t xml:space="preserve"> and </w:t>
      </w:r>
      <w:r>
        <w:rPr>
          <w:rStyle w:val="VerbatimChar"/>
        </w:rPr>
        <w:t>AuthenticationPackage = NTLM</w:t>
      </w:r>
      <w:r>
        <w:t>. A 30-day event collection baseline is sufficient for most estates.</w:t>
      </w:r>
    </w:p>
    <w:p w:rsidR="00A50715" w:rsidRDefault="006A60F1">
      <w:pPr>
        <w:pStyle w:val="BodyText"/>
      </w:pPr>
      <w:r>
        <w:rPr>
          <w:b/>
          <w:bCs/>
        </w:rPr>
        <w:t>SPN audit.</w:t>
      </w:r>
      <w:r>
        <w:t xml:space="preserve"> </w:t>
      </w:r>
      <w:r>
        <w:rPr>
          <w:rStyle w:val="VerbatimChar"/>
        </w:rPr>
        <w:t>setspn -L &lt;serviceaccount&gt;</w:t>
      </w:r>
      <w:r>
        <w:t xml:space="preserve"> and </w:t>
      </w:r>
      <w:r>
        <w:rPr>
          <w:rStyle w:val="VerbatimChar"/>
        </w:rPr>
        <w:t>setspn -Q MSSQLSvc/*</w:t>
      </w:r>
      <w:r>
        <w:t xml:space="preserve"> </w:t>
      </w:r>
      <w:r>
        <w:t>are run against the domain to identify missing, duplicate, and incorrectly formatted SPNs. Missing SPNs are the most common source of NTLM fallback in environments where Kerberos is expected.</w:t>
      </w:r>
    </w:p>
    <w:p w:rsidR="00A50715" w:rsidRDefault="006A60F1">
      <w:pPr>
        <w:pStyle w:val="BodyText"/>
      </w:pPr>
      <w:r>
        <w:rPr>
          <w:b/>
          <w:bCs/>
        </w:rPr>
        <w:t>Four NTLM-generating patterns.</w:t>
      </w:r>
      <w:r>
        <w:t xml:space="preserve"> Phase A classifies every NTLM source into one of four patterns:</w:t>
      </w:r>
    </w:p>
    <w:p w:rsidR="00A50715" w:rsidRDefault="006A60F1">
      <w:pPr>
        <w:pStyle w:val="Compact"/>
        <w:numPr>
          <w:ilvl w:val="0"/>
          <w:numId w:val="4"/>
        </w:numPr>
      </w:pPr>
      <w:r>
        <w:rPr>
          <w:b/>
          <w:bCs/>
        </w:rPr>
        <w:t>Missing or incorrect SPN.</w:t>
      </w:r>
      <w:r>
        <w:t xml:space="preserve"> The SQL Server service account has no SPN, or the SPN is registered in the wrong format (hostname vs. FQDN, wrong port). Fix: </w:t>
      </w:r>
      <w:r>
        <w:rPr>
          <w:rStyle w:val="VerbatimChar"/>
        </w:rPr>
        <w:t>setspn -S MSSQLSvc/&lt;host&gt;:&lt;port&gt; &lt;serviceaccount&gt;</w:t>
      </w:r>
      <w:r>
        <w:t>.</w:t>
      </w:r>
    </w:p>
    <w:p w:rsidR="00A50715" w:rsidRDefault="006A60F1">
      <w:pPr>
        <w:pStyle w:val="Compact"/>
        <w:numPr>
          <w:ilvl w:val="0"/>
          <w:numId w:val="4"/>
        </w:numPr>
      </w:pPr>
      <w:r>
        <w:rPr>
          <w:b/>
          <w:bCs/>
        </w:rPr>
        <w:t>Cross-site connection.</w:t>
      </w:r>
      <w:r>
        <w:t xml:space="preserve"> A client in a branch office or cloud region attempts Kerberos but the nearest KDC is unreachable. The fallback to NTLM is silent. Fix: Cloud Kerberos Trust or Entra-native authentication.</w:t>
      </w:r>
    </w:p>
    <w:p w:rsidR="00A50715" w:rsidRDefault="006A60F1">
      <w:pPr>
        <w:pStyle w:val="Compact"/>
        <w:numPr>
          <w:ilvl w:val="0"/>
          <w:numId w:val="4"/>
        </w:numPr>
      </w:pPr>
      <w:r>
        <w:rPr>
          <w:b/>
          <w:bCs/>
        </w:rPr>
        <w:t>Linked-server passthrough.</w:t>
      </w:r>
      <w:r>
        <w:t xml:space="preserve"> A linked server passes credentials from the calling context to the remote SQL Server. If the calling context uses NTLM, the linked server passes NTLM. Fix: Migrate the linked server to use a Managed Identity or dedicated service principal.</w:t>
      </w:r>
    </w:p>
    <w:p w:rsidR="00A50715" w:rsidRDefault="006A60F1">
      <w:pPr>
        <w:pStyle w:val="Compact"/>
        <w:numPr>
          <w:ilvl w:val="0"/>
          <w:numId w:val="4"/>
        </w:numPr>
      </w:pPr>
      <w:r>
        <w:rPr>
          <w:b/>
          <w:bCs/>
        </w:rPr>
        <w:t>Non-domain-joined application host.</w:t>
      </w:r>
      <w:r>
        <w:t xml:space="preserve"> </w:t>
      </w:r>
      <w:r>
        <w:t>An application server that is not domain-joined cannot perform Kerberos authentication. It uses NTLM or SQL logins. Fix: Domain join, Arc enrollment, or migration to Entra-native application authentication.</w:t>
      </w:r>
    </w:p>
    <w:p w:rsidR="00A50715" w:rsidRDefault="006A60F1">
      <w:pPr>
        <w:pStyle w:val="Heading2"/>
      </w:pPr>
      <w:bookmarkStart w:id="29" w:name="phase-b-remediation"/>
      <w:bookmarkStart w:id="30" w:name="_Toc233818286"/>
      <w:bookmarkEnd w:id="27"/>
      <w:r>
        <w:t>4.2 Phase B — Remediation</w:t>
      </w:r>
      <w:bookmarkEnd w:id="30"/>
    </w:p>
    <w:p w:rsidR="00A50715" w:rsidRDefault="006A60F1">
      <w:pPr>
        <w:pStyle w:val="FirstParagraph"/>
      </w:pPr>
      <w:r>
        <w:t>Phase B addresses every NTLM source identified in Phase A. The remediation sequence for the most common pattern — missing SPN — is representative:</w:t>
      </w:r>
    </w:p>
    <w:p w:rsidR="00A50715" w:rsidRDefault="006A60F1">
      <w:pPr>
        <w:pStyle w:val="Compact"/>
        <w:numPr>
          <w:ilvl w:val="0"/>
          <w:numId w:val="5"/>
        </w:numPr>
      </w:pPr>
      <w:r>
        <w:t xml:space="preserve">Register the correct SPN: </w:t>
      </w:r>
      <w:r>
        <w:rPr>
          <w:rStyle w:val="VerbatimChar"/>
        </w:rPr>
        <w:t>setspn -S MSSQLSvc/&lt;hostname&gt;.&lt;domain&gt;:&lt;port&gt; &lt;serviceaccount&gt;</w:t>
      </w:r>
    </w:p>
    <w:p w:rsidR="00A50715" w:rsidRDefault="006A60F1">
      <w:pPr>
        <w:pStyle w:val="Compact"/>
        <w:numPr>
          <w:ilvl w:val="0"/>
          <w:numId w:val="5"/>
        </w:numPr>
      </w:pPr>
      <w:r>
        <w:t xml:space="preserve">Register the short-name variant: </w:t>
      </w:r>
      <w:r>
        <w:rPr>
          <w:rStyle w:val="VerbatimChar"/>
        </w:rPr>
        <w:t>setspn -S MSSQLSvc/&lt;hostname&gt;:&lt;port&gt; &lt;serviceaccount&gt;</w:t>
      </w:r>
    </w:p>
    <w:p w:rsidR="00A50715" w:rsidRDefault="006A60F1">
      <w:pPr>
        <w:pStyle w:val="Compact"/>
        <w:numPr>
          <w:ilvl w:val="0"/>
          <w:numId w:val="5"/>
        </w:numPr>
      </w:pPr>
      <w:r>
        <w:t>Restart the SQL Server service to pick up the new SPN</w:t>
      </w:r>
    </w:p>
    <w:p w:rsidR="00A50715" w:rsidRDefault="006A60F1">
      <w:pPr>
        <w:pStyle w:val="Compact"/>
        <w:numPr>
          <w:ilvl w:val="0"/>
          <w:numId w:val="5"/>
        </w:numPr>
      </w:pPr>
      <w:r>
        <w:t xml:space="preserve">Verify with </w:t>
      </w:r>
      <w:r>
        <w:rPr>
          <w:rStyle w:val="VerbatimChar"/>
        </w:rPr>
        <w:t>klist</w:t>
      </w:r>
      <w:r>
        <w:t xml:space="preserve"> that subsequent connections use Kerberos</w:t>
      </w:r>
    </w:p>
    <w:p w:rsidR="00A50715" w:rsidRDefault="006A60F1">
      <w:pPr>
        <w:pStyle w:val="FirstParagraph"/>
      </w:pPr>
      <w:r>
        <w:t>For cross-site NTLM, Phase B deploys Cloud Kerberos Trust — an Azure AD Kerberos server that issues partial Kerberos tickets satisfied by Entra ID. This allows Kerberos authentication across network boundaries without requiring a reachable on-premises KDC.</w:t>
      </w:r>
    </w:p>
    <w:p w:rsidR="00A50715" w:rsidRDefault="006A60F1">
      <w:pPr>
        <w:pStyle w:val="BodyText"/>
      </w:pPr>
      <w:r>
        <w:t>For linked servers, Phase B migrates the authentication from passthrough credentials to a dedicated Managed Identity or service principal with the minimum required permissions.</w:t>
      </w:r>
    </w:p>
    <w:p w:rsidR="00A50715" w:rsidRDefault="006A60F1">
      <w:pPr>
        <w:pStyle w:val="BodyText"/>
      </w:pPr>
      <w:r>
        <w:rPr>
          <w:b/>
          <w:bCs/>
        </w:rPr>
        <w:t>NTLMv1 block.</w:t>
      </w:r>
      <w:r>
        <w:t xml:space="preserve"> At the end of Phase B, NTLMv1 is blocked at the domain level via Group Policy (</w:t>
      </w:r>
      <w:r>
        <w:rPr>
          <w:rStyle w:val="VerbatimChar"/>
        </w:rPr>
        <w:t>Network security: LAN Manager authentication level = Send NTLMv2 response only/refuse LM and NTLM</w:t>
      </w:r>
      <w:r>
        <w:t>). NTLMv1 has no legitimate use case in a federal environment and is prohibited under BOD 25-01.</w:t>
      </w:r>
    </w:p>
    <w:p w:rsidR="00A50715" w:rsidRDefault="006A60F1">
      <w:pPr>
        <w:pStyle w:val="Heading2"/>
      </w:pPr>
      <w:bookmarkStart w:id="31" w:name="phase-c-domain-wide-block"/>
      <w:bookmarkStart w:id="32" w:name="_Toc233818287"/>
      <w:bookmarkEnd w:id="29"/>
      <w:r>
        <w:t>4.3 Phase C — Domain-Wide Block</w:t>
      </w:r>
      <w:bookmarkEnd w:id="32"/>
    </w:p>
    <w:p w:rsidR="00A50715" w:rsidRDefault="006A60F1">
      <w:pPr>
        <w:pStyle w:val="FirstParagraph"/>
      </w:pPr>
      <w:r>
        <w:t>Phase C applies the final Group Policy that refuses all NTLM authentication at the domain level. This is a blocking change — any authentication that still relies on NTLM after Phase C will fail.</w:t>
      </w:r>
    </w:p>
    <w:p w:rsidR="00A50715" w:rsidRDefault="006A60F1">
      <w:pPr>
        <w:pStyle w:val="BodyText"/>
      </w:pPr>
      <w:r>
        <w:t>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rsidR="00A50715" w:rsidRDefault="006A60F1">
      <w:pPr>
        <w:pStyle w:val="BodyText"/>
      </w:pPr>
      <w:r>
        <w:t>Phase C completion is the evidence baseline for the AU-2/AU-12 controls in the FedRAMP 20x continuous monitoring record.</w:t>
      </w:r>
    </w:p>
    <w:p w:rsidR="00A50715" w:rsidRDefault="006A60F1">
      <w:pPr>
        <w:pStyle w:val="Heading1"/>
      </w:pPr>
      <w:bookmarkStart w:id="33" w:name="the-login-migration"/>
      <w:bookmarkStart w:id="34" w:name="_Toc233818288"/>
      <w:bookmarkEnd w:id="24"/>
      <w:bookmarkEnd w:id="31"/>
      <w:r>
        <w:t>5. The Login Migration</w:t>
      </w:r>
      <w:bookmarkEnd w:id="34"/>
    </w:p>
    <w:p w:rsidR="00A50715" w:rsidRDefault="006A60F1">
      <w:pPr>
        <w:pStyle w:val="FirstParagraph"/>
      </w:pPr>
      <w:r>
        <w:t>SQL Server logins are the database-level identity records. Migrating logins is the core technical action of the SQL Server modernization program. Every instance that survives the consolidation gate undergoes a login migration.</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35" w:name="fig-san04"/>
            <w:r>
              <w:rPr>
                <w:rFonts w:ascii="Arial" w:hAnsi="Arial"/>
                <w:b/>
                <w:noProof/>
                <w:color w:val="FFFFFF"/>
                <w:sz w:val="20"/>
              </w:rPr>
              <w:drawing>
                <wp:inline distT="0" distB="0" distL="0" distR="0">
                  <wp:extent cx="7772400" cy="275023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s/san-fig-04-login-migration.png"/>
                          <pic:cNvPicPr>
                            <a:picLocks noChangeAspect="1" noChangeArrowheads="1"/>
                          </pic:cNvPicPr>
                        </pic:nvPicPr>
                        <pic:blipFill>
                          <a:blip r:embed="rId9"/>
                          <a:stretch>
                            <a:fillRect/>
                          </a:stretch>
                        </pic:blipFill>
                        <pic:spPr bwMode="auto">
                          <a:xfrm>
                            <a:off x="0" y="0"/>
                            <a:ext cx="7772400" cy="2750233"/>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4: Login migration runs in four phases. The legacy login is never dropped until a 30-day clean observation period completes with zero authentication events using the old identity.</w:t>
            </w:r>
          </w:p>
        </w:tc>
        <w:bookmarkEnd w:id="35"/>
      </w:tr>
    </w:tbl>
    <w:p w:rsidR="00A50715" w:rsidRDefault="006A60F1">
      <w:pPr>
        <w:pStyle w:val="Heading2"/>
      </w:pPr>
      <w:bookmarkStart w:id="36" w:name="login-types-and-migration-targets"/>
      <w:bookmarkStart w:id="37" w:name="_Toc233818289"/>
      <w:r>
        <w:t>5.1 Login Types and Migration Targets</w:t>
      </w:r>
      <w:bookmarkEnd w:id="37"/>
    </w:p>
    <w:p w:rsidR="00A50715" w:rsidRDefault="006A60F1">
      <w:pPr>
        <w:pStyle w:val="FirstParagraph"/>
      </w:pPr>
      <w:r>
        <w:t>SQL Server supports three login types:</w:t>
      </w:r>
    </w:p>
    <w:p w:rsidR="00A50715" w:rsidRDefault="006A60F1">
      <w:pPr>
        <w:pStyle w:val="BodyText"/>
      </w:pPr>
      <w:r>
        <w:rPr>
          <w:b/>
          <w:bCs/>
        </w:rPr>
        <w:t>Windows logins.</w:t>
      </w:r>
      <w:r>
        <w:t xml:space="preserve"> Authenticated via Kerberos or NTLM. These are the logins being replaced. Each Windows login is matched to an Entra identity (user, group, or service principal) and a corresponding Entra login is created alongside it.</w:t>
      </w:r>
    </w:p>
    <w:p w:rsidR="00A50715" w:rsidRDefault="006A60F1">
      <w:pPr>
        <w:pStyle w:val="BodyText"/>
      </w:pPr>
      <w:r>
        <w:rPr>
          <w:b/>
          <w:bCs/>
        </w:rPr>
        <w:t>SQL logins.</w:t>
      </w:r>
      <w:r>
        <w:t xml:space="preserve"> </w:t>
      </w:r>
      <w:r>
        <w:t>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rsidR="00A50715" w:rsidRDefault="006A60F1">
      <w:pPr>
        <w:pStyle w:val="BodyText"/>
      </w:pPr>
      <w:r>
        <w:rPr>
          <w:b/>
          <w:bCs/>
        </w:rPr>
        <w:t>Entra logins.</w:t>
      </w:r>
      <w:r>
        <w:t xml:space="preserve"> Created with </w:t>
      </w:r>
      <w:r>
        <w:rPr>
          <w:rStyle w:val="VerbatimChar"/>
        </w:rPr>
        <w:t>CREATE LOGIN [&lt;entra-identity&gt;] FROM EXTERNAL PROVIDER</w:t>
      </w:r>
      <w:r>
        <w:t>. Authenticated via Entra ID token. These are the migration target.</w:t>
      </w:r>
    </w:p>
    <w:p w:rsidR="00A50715" w:rsidRDefault="006A60F1">
      <w:pPr>
        <w:pStyle w:val="Heading2"/>
      </w:pPr>
      <w:bookmarkStart w:id="38" w:name="the-four-phase-parallel-run"/>
      <w:bookmarkStart w:id="39" w:name="_Toc233818290"/>
      <w:bookmarkEnd w:id="36"/>
      <w:r>
        <w:t>5.2 The Four-Phase Parallel Run</w:t>
      </w:r>
      <w:bookmarkEnd w:id="39"/>
    </w:p>
    <w:p w:rsidR="00A50715" w:rsidRDefault="006A60F1">
      <w:pPr>
        <w:pStyle w:val="FirstParagraph"/>
      </w:pPr>
      <w:r>
        <w:t>Login migration must be executed as a parallel run — not a cutover. The legacy login remains active while the Entra login is created and validated. Only after validation is the legacy login disabled, and only after a 30-day observation period is it dropped.</w:t>
      </w:r>
    </w:p>
    <w:p w:rsidR="00A50715" w:rsidRDefault="006A60F1">
      <w:pPr>
        <w:pStyle w:val="BodyText"/>
      </w:pPr>
      <w:r>
        <w:rPr>
          <w:b/>
          <w:bCs/>
        </w:rPr>
        <w:t>Phase 1 — Create.</w:t>
      </w:r>
      <w:r>
        <w:t xml:space="preserve"> </w:t>
      </w:r>
      <w:r>
        <w:rPr>
          <w:rStyle w:val="VerbatimChar"/>
        </w:rPr>
        <w:t>CREATE LOGIN [user@agency.gov] FROM EXTERNAL PROVIDER</w:t>
      </w:r>
      <w:r>
        <w:t xml:space="preserve"> — or for a group: </w:t>
      </w:r>
      <w:r>
        <w:rPr>
          <w:rStyle w:val="VerbatimChar"/>
        </w:rPr>
        <w:t>CREATE LOGIN [GroupName] FROM EXTERNAL PROVIDER</w:t>
      </w:r>
      <w:r>
        <w:t xml:space="preserve"> with the Entra Object ID.</w:t>
      </w:r>
    </w:p>
    <w:p w:rsidR="00A50715" w:rsidRDefault="006A60F1">
      <w:pPr>
        <w:pStyle w:val="BodyText"/>
      </w:pPr>
      <w:r>
        <w:rPr>
          <w:b/>
          <w:bCs/>
        </w:rPr>
        <w:t>Phase 2 — Validate.</w:t>
      </w:r>
      <w:r>
        <w:t xml:space="preserve"> </w:t>
      </w:r>
      <w:r>
        <w:t>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rsidR="00A50715" w:rsidRDefault="006A60F1">
      <w:pPr>
        <w:pStyle w:val="BodyText"/>
      </w:pPr>
      <w:r>
        <w:rPr>
          <w:b/>
          <w:bCs/>
        </w:rPr>
        <w:t>Phase 3 — Disable.</w:t>
      </w:r>
      <w:r>
        <w:t xml:space="preserve"> </w:t>
      </w:r>
      <w:r>
        <w:rPr>
          <w:rStyle w:val="VerbatimChar"/>
        </w:rPr>
        <w:t>ALTER LOGIN [domain\user] DISABLE</w:t>
      </w:r>
      <w:r>
        <w:t>.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rsidR="00A50715" w:rsidRDefault="006A60F1">
      <w:pPr>
        <w:pStyle w:val="BodyText"/>
      </w:pPr>
      <w:r>
        <w:rPr>
          <w:b/>
          <w:bCs/>
        </w:rPr>
        <w:t>Phase 4 — Drop.</w:t>
      </w:r>
      <w:r>
        <w:t xml:space="preserve"> After a 30-day observation period with no authentication failures traceable to the disabled login, </w:t>
      </w:r>
      <w:r>
        <w:rPr>
          <w:rStyle w:val="VerbatimChar"/>
        </w:rPr>
        <w:t>DROP LOGIN [domain\user]</w:t>
      </w:r>
      <w:r>
        <w:t xml:space="preserve"> is executed. The login is gone.</w:t>
      </w:r>
    </w:p>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rsidR="00A50715" w:rsidRDefault="006A60F1">
            <w:pPr>
              <w:pStyle w:val="BodyText"/>
              <w:spacing w:before="0" w:after="0"/>
              <w:textAlignment w:val="center"/>
            </w:pPr>
            <w:r>
              <w:rPr>
                <w:rFonts w:ascii="Arial" w:hAnsi="Arial"/>
                <w:b/>
                <w:noProof/>
                <w:color w:val="FFFFFF"/>
                <w:sz w:val="20"/>
              </w:rPr>
              <w:drawing>
                <wp:inline distT="0" distB="0" distL="0" distR="0">
                  <wp:extent cx="304800" cy="304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A50715" w:rsidTr="00A5071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rsidR="00A50715" w:rsidRDefault="006A60F1">
            <w:pPr>
              <w:pStyle w:val="BodyText"/>
              <w:spacing w:before="16" w:after="16"/>
            </w:pPr>
            <w:r>
              <w:rPr>
                <w:rFonts w:ascii="Arial" w:hAnsi="Arial"/>
                <w:b/>
                <w:bCs/>
                <w:color w:val="1F3864"/>
                <w:sz w:val="20"/>
              </w:rPr>
              <w:t>Never drop a login until the 30-day observation period is complete.</w:t>
            </w:r>
            <w:r>
              <w:rPr>
                <w:rFonts w:ascii="Arial" w:hAnsi="Arial"/>
                <w:color w:val="1F3864"/>
                <w:sz w:val="20"/>
              </w:rPr>
              <w:t xml:space="preserve"> The observation period is not optional. Applications discover their dependencies against production traffic, not documentation. A login that appears unused in the inventory may be the authentication identity for a monthly process.</w:t>
            </w:r>
          </w:p>
          <w:p w:rsidR="00A50715" w:rsidRDefault="00A50715"/>
        </w:tc>
      </w:tr>
    </w:tbl>
    <w:p w:rsidR="00A50715" w:rsidRDefault="006A60F1">
      <w:pPr>
        <w:pStyle w:val="Heading2"/>
      </w:pPr>
      <w:bookmarkStart w:id="40" w:name="the-sa-account"/>
      <w:bookmarkStart w:id="41" w:name="_Toc233818291"/>
      <w:bookmarkEnd w:id="38"/>
      <w:r>
        <w:t>5.3 The sa Account</w:t>
      </w:r>
      <w:bookmarkEnd w:id="41"/>
    </w:p>
    <w:p w:rsidR="00A50715" w:rsidRDefault="006A60F1">
      <w:pPr>
        <w:pStyle w:val="FirstParagraph"/>
      </w:pPr>
      <w:r>
        <w:t xml:space="preserve">The </w:t>
      </w:r>
      <w:r>
        <w:rPr>
          <w:rStyle w:val="VerbatimChar"/>
        </w:rPr>
        <w:t>sa</w:t>
      </w:r>
      <w:r>
        <w:t xml:space="preserve"> </w:t>
      </w:r>
      <w:r>
        <w:t>(system administrator) account requires special handling. It is a SQL login — a stored password — and it exists in every SQL Server instance regardless of whether it was ever used. Left enabled, it is a standing attack surface.</w:t>
      </w:r>
    </w:p>
    <w:p w:rsidR="00A50715" w:rsidRDefault="006A60F1">
      <w:pPr>
        <w:pStyle w:val="BodyText"/>
      </w:pPr>
      <w:r>
        <w:t>The sa account cannot be dropped. It must be disabled and renamed:</w:t>
      </w:r>
    </w:p>
    <w:p w:rsidR="00A50715" w:rsidRDefault="006A60F1">
      <w:pPr>
        <w:pStyle w:val="SourceCode"/>
      </w:pPr>
      <w:r>
        <w:rPr>
          <w:rStyle w:val="KeywordTok"/>
        </w:rPr>
        <w:t>ALTER</w:t>
      </w:r>
      <w:r>
        <w:rPr>
          <w:rStyle w:val="NormalTok"/>
        </w:rPr>
        <w:t xml:space="preserve"> LOGIN sa </w:t>
      </w:r>
      <w:r>
        <w:rPr>
          <w:rStyle w:val="KeywordTok"/>
        </w:rPr>
        <w:t>DISABLE</w:t>
      </w:r>
      <w:r>
        <w:rPr>
          <w:rStyle w:val="NormalTok"/>
        </w:rPr>
        <w:t>;</w:t>
      </w:r>
      <w:r>
        <w:br/>
      </w:r>
      <w:r>
        <w:rPr>
          <w:rStyle w:val="KeywordTok"/>
        </w:rPr>
        <w:t>ALTER</w:t>
      </w:r>
      <w:r>
        <w:rPr>
          <w:rStyle w:val="NormalTok"/>
        </w:rPr>
        <w:t xml:space="preserve"> LOGIN sa </w:t>
      </w:r>
      <w:r>
        <w:rPr>
          <w:rStyle w:val="KeywordTok"/>
        </w:rPr>
        <w:t>WITH</w:t>
      </w:r>
      <w:r>
        <w:rPr>
          <w:rStyle w:val="NormalTok"/>
        </w:rPr>
        <w:t xml:space="preserve"> NAME </w:t>
      </w:r>
      <w:r>
        <w:rPr>
          <w:rStyle w:val="OperatorTok"/>
        </w:rPr>
        <w:t>=</w:t>
      </w:r>
      <w:r>
        <w:rPr>
          <w:rStyle w:val="NormalTok"/>
        </w:rPr>
        <w:t xml:space="preserve"> [disabled_sa_</w:t>
      </w:r>
      <w:r>
        <w:rPr>
          <w:rStyle w:val="OperatorTok"/>
        </w:rPr>
        <w:t>&lt;</w:t>
      </w:r>
      <w:r>
        <w:rPr>
          <w:rStyle w:val="NormalTok"/>
        </w:rPr>
        <w:t>instancename</w:t>
      </w:r>
      <w:r>
        <w:rPr>
          <w:rStyle w:val="OperatorTok"/>
        </w:rPr>
        <w:t>&gt;</w:t>
      </w:r>
      <w:r>
        <w:rPr>
          <w:rStyle w:val="NormalTok"/>
        </w:rPr>
        <w:t>];</w:t>
      </w:r>
    </w:p>
    <w:p w:rsidR="00A50715" w:rsidRDefault="006A60F1">
      <w:pPr>
        <w:pStyle w:val="FirstParagraph"/>
      </w:pPr>
      <w:r>
        <w:t>Disabling sa is a CM-8 inventory action and should be documented in the instance’s change record. The renamed, disabled account remains in the login list as evidence that the action was taken.</w:t>
      </w:r>
    </w:p>
    <w:p w:rsidR="00A50715" w:rsidRDefault="006A60F1">
      <w:pPr>
        <w:pStyle w:val="Heading1"/>
      </w:pPr>
      <w:bookmarkStart w:id="42" w:name="access-control-and-the-entra-perimeter"/>
      <w:bookmarkStart w:id="43" w:name="_Toc233818292"/>
      <w:bookmarkEnd w:id="33"/>
      <w:bookmarkEnd w:id="40"/>
      <w:r>
        <w:t>6. Access Control and the Entra Perimeter</w:t>
      </w:r>
      <w:bookmarkEnd w:id="43"/>
    </w:p>
    <w:p w:rsidR="00A50715" w:rsidRDefault="006A60F1">
      <w:pPr>
        <w:pStyle w:val="FirstParagraph"/>
      </w:pPr>
      <w:r>
        <w:t>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p w:rsidR="00A50715" w:rsidRDefault="006A60F1">
      <w:pPr>
        <w:pStyle w:val="Heading2"/>
      </w:pPr>
      <w:bookmarkStart w:id="44" w:name="X8e2eef1b5223fab3c205906d44c8894713407b8"/>
      <w:bookmarkStart w:id="45" w:name="_Toc233818293"/>
      <w:r>
        <w:t>6.1 Entra Dynamic Groups as SQL Authorization Source</w:t>
      </w:r>
      <w:bookmarkEnd w:id="45"/>
    </w:p>
    <w:p w:rsidR="00A50715" w:rsidRDefault="006A60F1">
      <w:pPr>
        <w:pStyle w:val="FirstParagraph"/>
      </w:pPr>
      <w:r>
        <w:t>SQL Server authorization at the database level maps to Entra group membership via Entra database principals (</w:t>
      </w:r>
      <w:r>
        <w:rPr>
          <w:rStyle w:val="VerbatimChar"/>
        </w:rPr>
        <w:t>CREATE USER [&lt;group&gt;] FROM EXTERNAL PROVIDER</w:t>
      </w:r>
      <w:r>
        <w:t>). The group membership is the authorization record — a user in the Entra group has the database role assigned to that group’s database principal.</w:t>
      </w:r>
    </w:p>
    <w:p w:rsidR="00A50715" w:rsidRDefault="006A60F1">
      <w:pPr>
        <w:pStyle w:val="BodyText"/>
      </w:pPr>
      <w:r>
        <w:t>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rsidR="00A50715" w:rsidRDefault="006A60F1">
      <w:pPr>
        <w:pStyle w:val="BodyText"/>
      </w:pPr>
      <w:r>
        <w:t>This is the identity lifecycle enforcement mechanism: access is derived from employment status and role, not from a ticket submitted to a DBA.</w:t>
      </w:r>
    </w:p>
    <w:p w:rsidR="00A50715" w:rsidRDefault="006A60F1">
      <w:pPr>
        <w:pStyle w:val="Heading2"/>
      </w:pPr>
      <w:bookmarkStart w:id="46" w:name="conditional-access-policies-for-sql"/>
      <w:bookmarkStart w:id="47" w:name="_Toc233818294"/>
      <w:bookmarkEnd w:id="44"/>
      <w:r>
        <w:t>6.2 Conditional Access Policies for SQL</w:t>
      </w:r>
      <w:bookmarkEnd w:id="47"/>
    </w:p>
    <w:p w:rsidR="00A50715" w:rsidRDefault="006A60F1">
      <w:pPr>
        <w:pStyle w:val="FirstParagraph"/>
      </w:pPr>
      <w:r>
        <w:t>Entra ID Conditional Access policies are applied to the Entra authentication flow that SQL clients use. Policies can enforce:</w:t>
      </w:r>
    </w:p>
    <w:p w:rsidR="00A50715" w:rsidRDefault="006A60F1">
      <w:pPr>
        <w:pStyle w:val="Compact"/>
        <w:numPr>
          <w:ilvl w:val="0"/>
          <w:numId w:val="6"/>
        </w:numPr>
      </w:pPr>
      <w:r>
        <w:rPr>
          <w:b/>
          <w:bCs/>
        </w:rPr>
        <w:t>MFA for privileged logins.</w:t>
      </w:r>
      <w:r>
        <w:t xml:space="preserve"> DBA logins (members of </w:t>
      </w:r>
      <w:r>
        <w:rPr>
          <w:rStyle w:val="VerbatimChar"/>
        </w:rPr>
        <w:t>sysadmin</w:t>
      </w:r>
      <w:r>
        <w:t xml:space="preserve">, </w:t>
      </w:r>
      <w:r>
        <w:rPr>
          <w:rStyle w:val="VerbatimChar"/>
        </w:rPr>
        <w:t>securityadmin</w:t>
      </w:r>
      <w:r>
        <w:t>, or custom privileged groups) require MFA at every authentication.</w:t>
      </w:r>
    </w:p>
    <w:p w:rsidR="00A50715" w:rsidRDefault="006A60F1">
      <w:pPr>
        <w:pStyle w:val="Compact"/>
        <w:numPr>
          <w:ilvl w:val="0"/>
          <w:numId w:val="6"/>
        </w:numPr>
      </w:pPr>
      <w:r>
        <w:rPr>
          <w:b/>
          <w:bCs/>
        </w:rPr>
        <w:t>Device compliance.</w:t>
      </w:r>
      <w:r>
        <w:t xml:space="preserve"> </w:t>
      </w:r>
      <w:r>
        <w:t>Connections from devices not enrolled in the MDM system are blocked. This eliminates authentication from unmanaged endpoints.</w:t>
      </w:r>
    </w:p>
    <w:p w:rsidR="00A50715" w:rsidRDefault="006A60F1">
      <w:pPr>
        <w:pStyle w:val="Compact"/>
        <w:numPr>
          <w:ilvl w:val="0"/>
          <w:numId w:val="6"/>
        </w:numPr>
      </w:pPr>
      <w:r>
        <w:rPr>
          <w:b/>
          <w:bCs/>
        </w:rPr>
        <w:t>Location restrictions.</w:t>
      </w:r>
      <w:r>
        <w:t xml:space="preserve"> Authentication from outside defined trusted IP ranges requires MFA step-up or is blocked entirely. This addresses contractor and vendor access from personal systems.</w:t>
      </w:r>
    </w:p>
    <w:p w:rsidR="00A50715" w:rsidRDefault="006A60F1">
      <w:pPr>
        <w:pStyle w:val="Compact"/>
        <w:numPr>
          <w:ilvl w:val="0"/>
          <w:numId w:val="6"/>
        </w:numPr>
      </w:pPr>
      <w:r>
        <w:rPr>
          <w:b/>
          <w:bCs/>
        </w:rPr>
        <w:t>Session time limits.</w:t>
      </w:r>
      <w:r>
        <w:t xml:space="preserve"> Access tokens for SQL connections have a configurable lifetime. Privileged sessions are time-limited and require re-authentication after expiry.</w:t>
      </w:r>
    </w:p>
    <w:p w:rsidR="00A50715" w:rsidRDefault="006A60F1">
      <w:pPr>
        <w:pStyle w:val="FirstParagraph"/>
      </w:pPr>
      <w:r>
        <w:t>Conditional Access policies are configured at the Entra tenant level and apply to all SQL connections authenticated via Entra — there is no per-instance configuration required in SQL Server.</w:t>
      </w:r>
    </w:p>
    <w:p w:rsidR="00A50715" w:rsidRDefault="006A60F1">
      <w:pPr>
        <w:pStyle w:val="Heading1"/>
      </w:pPr>
      <w:bookmarkStart w:id="48" w:name="the-application-chain"/>
      <w:bookmarkStart w:id="49" w:name="_Toc233818295"/>
      <w:bookmarkEnd w:id="42"/>
      <w:bookmarkEnd w:id="46"/>
      <w:r>
        <w:t>7. The Application Chain</w:t>
      </w:r>
      <w:bookmarkEnd w:id="49"/>
    </w:p>
    <w:p w:rsidR="00A50715" w:rsidRDefault="006A60F1">
      <w:pPr>
        <w:pStyle w:val="FirstParagraph"/>
      </w:pPr>
      <w:r>
        <w:t>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50" w:name="fig-san05"/>
            <w:r>
              <w:rPr>
                <w:rFonts w:ascii="Arial" w:hAnsi="Arial"/>
                <w:b/>
                <w:noProof/>
                <w:color w:val="FFFFFF"/>
                <w:sz w:val="20"/>
              </w:rPr>
              <w:drawing>
                <wp:inline distT="0" distB="0" distL="0" distR="0">
                  <wp:extent cx="7772400" cy="3101487"/>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s/san-fig-05-app-chain.png"/>
                          <pic:cNvPicPr>
                            <a:picLocks noChangeAspect="1" noChangeArrowheads="1"/>
                          </pic:cNvPicPr>
                        </pic:nvPicPr>
                        <pic:blipFill>
                          <a:blip r:embed="rId10"/>
                          <a:stretch>
                            <a:fillRect/>
                          </a:stretch>
                        </pic:blipFill>
                        <pic:spPr bwMode="auto">
                          <a:xfrm>
                            <a:off x="0" y="0"/>
                            <a:ext cx="7772400" cy="3101487"/>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5: Applications are classified into four categories based on their authentication modernization path. Class 3 (OIDC/Token) is the goal for all new work.</w:t>
            </w:r>
          </w:p>
        </w:tc>
        <w:bookmarkEnd w:id="50"/>
      </w:tr>
    </w:tbl>
    <w:p w:rsidR="00A50715" w:rsidRDefault="006A60F1">
      <w:pPr>
        <w:pStyle w:val="Heading2"/>
      </w:pPr>
      <w:bookmarkStart w:id="51" w:name="application-authentication-classes"/>
      <w:bookmarkStart w:id="52" w:name="_Toc233818296"/>
      <w:r>
        <w:t>7.1 Application Authentication Classes</w:t>
      </w:r>
      <w:bookmarkEnd w:id="52"/>
    </w:p>
    <w:p w:rsidR="00A50715" w:rsidRDefault="006A60F1">
      <w:pPr>
        <w:pStyle w:val="FirstParagraph"/>
      </w:pPr>
      <w:r>
        <w:t>Applications that connect to SQL Server are classified into four categories based on their ability to use modern authentication:</w:t>
      </w:r>
    </w:p>
    <w:p w:rsidR="00A50715" w:rsidRDefault="006A60F1">
      <w:pPr>
        <w:pStyle w:val="BodyText"/>
      </w:pPr>
      <w:r>
        <w:rPr>
          <w:b/>
          <w:bCs/>
        </w:rPr>
        <w:t>Class 3 — OIDC/Token (Preferred).</w:t>
      </w:r>
      <w:r>
        <w:t xml:space="preserve"> The application uses the Azure Identity SDK and </w:t>
      </w:r>
      <w:r>
        <w:rPr>
          <w:rStyle w:val="VerbatimChar"/>
        </w:rPr>
        <w:t>DefaultAzureCredential</w:t>
      </w:r>
      <w:r>
        <w:t xml:space="preserve"> or a </w:t>
      </w:r>
      <w:r>
        <w:rPr>
          <w:rStyle w:val="VerbatimChar"/>
        </w:rPr>
        <w:t>ManagedIdentityCredential</w:t>
      </w:r>
      <w:r>
        <w:t xml:space="preserve">. The connection string specifies </w:t>
      </w:r>
      <w:r>
        <w:rPr>
          <w:rStyle w:val="VerbatimChar"/>
        </w:rPr>
        <w:t>Authentication=Active Directory Default</w:t>
      </w:r>
      <w:r>
        <w:t>. No stored credential. Entra ID is the primary IdP. This is the target class for all new development and the migration goal for existing applications that can be modified.</w:t>
      </w:r>
    </w:p>
    <w:p w:rsidR="00A50715" w:rsidRDefault="006A60F1">
      <w:pPr>
        <w:pStyle w:val="BodyText"/>
      </w:pPr>
      <w:r>
        <w:rPr>
          <w:b/>
          <w:bCs/>
        </w:rPr>
        <w:t>Class 2 — SAML Federation (Acceptable).</w:t>
      </w:r>
      <w:r>
        <w:t xml:space="preserve"> </w:t>
      </w:r>
      <w:r>
        <w:t>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rsidR="00A50715" w:rsidRDefault="006A60F1">
      <w:pPr>
        <w:pStyle w:val="BodyText"/>
      </w:pPr>
      <w:r>
        <w:rPr>
          <w:b/>
          <w:bCs/>
        </w:rPr>
        <w:t>Class 1 — Application Proxy (Constrained).</w:t>
      </w:r>
      <w:r>
        <w:t xml:space="preserve"> </w:t>
      </w:r>
      <w:r>
        <w:t>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rsidR="00A50715" w:rsidRDefault="006A60F1">
      <w:pPr>
        <w:pStyle w:val="BodyText"/>
      </w:pPr>
      <w:r>
        <w:rPr>
          <w:b/>
          <w:bCs/>
        </w:rPr>
        <w:t>Class 4 — Domain Services (Last Resort).</w:t>
      </w:r>
      <w:r>
        <w:t xml:space="preserve"> </w:t>
      </w:r>
      <w:r>
        <w:t>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p w:rsidR="00A50715" w:rsidRDefault="006A60F1">
      <w:pPr>
        <w:pStyle w:val="Heading2"/>
      </w:pPr>
      <w:bookmarkStart w:id="53" w:name="connection-string-transformation"/>
      <w:bookmarkStart w:id="54" w:name="_Toc233818297"/>
      <w:bookmarkEnd w:id="51"/>
      <w:r>
        <w:t>7.2 Connection String Transformation</w:t>
      </w:r>
      <w:bookmarkEnd w:id="54"/>
    </w:p>
    <w:p w:rsidR="00A50715" w:rsidRDefault="006A60F1">
      <w:pPr>
        <w:pStyle w:val="FirstParagraph"/>
      </w:pPr>
      <w:r>
        <w:t>The most common transformation in the application chain is connection string modification from Windows Integrated Authentication to Entra Default authentication:</w:t>
      </w:r>
    </w:p>
    <w:p w:rsidR="00A50715" w:rsidRDefault="006A60F1">
      <w:pPr>
        <w:pStyle w:val="BodyText"/>
      </w:pPr>
      <w:r>
        <w:rPr>
          <w:b/>
          <w:bCs/>
        </w:rPr>
        <w:t>Before:</w:t>
      </w:r>
    </w:p>
    <w:p w:rsidR="00A50715" w:rsidRDefault="006A60F1">
      <w:pPr>
        <w:pStyle w:val="SourceCode"/>
      </w:pPr>
      <w:r>
        <w:rPr>
          <w:rStyle w:val="VerbatimChar"/>
        </w:rPr>
        <w:t>Server=sql01.agency.gov;Database=ApplicationDB;Integrated Security=SSPI;</w:t>
      </w:r>
    </w:p>
    <w:p w:rsidR="00A50715" w:rsidRDefault="006A60F1">
      <w:pPr>
        <w:pStyle w:val="FirstParagraph"/>
      </w:pPr>
      <w:r>
        <w:rPr>
          <w:b/>
          <w:bCs/>
        </w:rPr>
        <w:t>After:</w:t>
      </w:r>
    </w:p>
    <w:p w:rsidR="00A50715" w:rsidRDefault="006A60F1">
      <w:pPr>
        <w:pStyle w:val="SourceCode"/>
      </w:pPr>
      <w:r>
        <w:rPr>
          <w:rStyle w:val="VerbatimChar"/>
        </w:rPr>
        <w:t>Server=sql01.database.usgovcloudapi.net;Database=ApplicationDB;Authentication=Active Directory Default;</w:t>
      </w:r>
    </w:p>
    <w:p w:rsidR="00A50715" w:rsidRDefault="006A60F1">
      <w:pPr>
        <w:pStyle w:val="FirstParagraph"/>
      </w:pPr>
      <w:r>
        <w:t xml:space="preserve">The </w:t>
      </w:r>
      <w:r>
        <w:rPr>
          <w:rStyle w:val="VerbatimChar"/>
        </w:rPr>
        <w:t>Authentication=Active Directory Default</w:t>
      </w:r>
      <w:r>
        <w:t xml:space="preserve"> directive instructs the SQL client library to acquire an access token from the available managed identity, environment credential, or interactive login — whichever is available in the execution context — and present it to SQL Server as the authentication credential.</w:t>
      </w:r>
    </w:p>
    <w:p w:rsidR="00A50715" w:rsidRDefault="006A60F1">
      <w:pPr>
        <w:pStyle w:val="BodyText"/>
      </w:pPr>
      <w:r>
        <w:t>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p w:rsidR="00A50715" w:rsidRDefault="006A60F1">
      <w:pPr>
        <w:pStyle w:val="Heading2"/>
      </w:pPr>
      <w:bookmarkStart w:id="55" w:name="linked-server-migration"/>
      <w:bookmarkStart w:id="56" w:name="_Toc233818298"/>
      <w:bookmarkEnd w:id="53"/>
      <w:r>
        <w:t>7.3 Linked Server Migration</w:t>
      </w:r>
      <w:bookmarkEnd w:id="56"/>
    </w:p>
    <w:p w:rsidR="00A50715" w:rsidRDefault="006A60F1">
      <w:pPr>
        <w:pStyle w:val="FirstParagraph"/>
      </w:pPr>
      <w:r>
        <w:t xml:space="preserve">Linked servers that pass authentication credentials from the calling context are a significant risk. The </w:t>
      </w:r>
      <w:r>
        <w:rPr>
          <w:rStyle w:val="VerbatimChar"/>
        </w:rPr>
        <w:t>EXECUTE AS</w:t>
      </w:r>
      <w:r>
        <w:t xml:space="preserve"> or </w:t>
      </w:r>
      <w:r>
        <w:rPr>
          <w:rStyle w:val="VerbatimChar"/>
        </w:rPr>
        <w:t>SELF</w:t>
      </w:r>
      <w:r>
        <w:t xml:space="preserve"> </w:t>
      </w:r>
      <w:r>
        <w:t>security context options used in linked server definitions determine whether the calling credential is passed through. In a post-migration posture:</w:t>
      </w:r>
    </w:p>
    <w:p w:rsidR="00A50715" w:rsidRDefault="006A60F1">
      <w:pPr>
        <w:pStyle w:val="Compact"/>
        <w:numPr>
          <w:ilvl w:val="0"/>
          <w:numId w:val="7"/>
        </w:numPr>
      </w:pPr>
      <w:r>
        <w:t>Linked servers should authenticate using a dedicated service principal or Managed Identity with minimum necessary permissions.</w:t>
      </w:r>
    </w:p>
    <w:p w:rsidR="00A50715" w:rsidRDefault="006A60F1">
      <w:pPr>
        <w:pStyle w:val="Compact"/>
        <w:numPr>
          <w:ilvl w:val="0"/>
          <w:numId w:val="7"/>
        </w:numPr>
      </w:pPr>
      <w:r>
        <w:t xml:space="preserve">The </w:t>
      </w:r>
      <w:r>
        <w:rPr>
          <w:rStyle w:val="VerbatimChar"/>
        </w:rPr>
        <w:t>SELF</w:t>
      </w:r>
      <w:r>
        <w:t xml:space="preserve"> passthrough option should be disabled in most cases — it passes whatever credential the calling query used, which may be an NTLM credential.</w:t>
      </w:r>
    </w:p>
    <w:p w:rsidR="00A50715" w:rsidRDefault="006A60F1">
      <w:pPr>
        <w:pStyle w:val="Compact"/>
        <w:numPr>
          <w:ilvl w:val="0"/>
          <w:numId w:val="7"/>
        </w:numPr>
      </w:pPr>
      <w:r>
        <w:t>Linked servers to non-SQL systems (Oracle, PostgreSQL, OData) are audited for credential storage in the linked server definition.</w:t>
      </w:r>
    </w:p>
    <w:p w:rsidR="00A50715" w:rsidRDefault="006A60F1">
      <w:pPr>
        <w:pStyle w:val="Heading1"/>
      </w:pPr>
      <w:bookmarkStart w:id="57" w:name="the-transformed-posture"/>
      <w:bookmarkStart w:id="58" w:name="_Toc233818299"/>
      <w:bookmarkEnd w:id="48"/>
      <w:bookmarkEnd w:id="55"/>
      <w:r>
        <w:t>8. The Transformed Posture</w:t>
      </w:r>
      <w:bookmarkEnd w:id="58"/>
    </w:p>
    <w:p w:rsidR="00A50715" w:rsidRDefault="006A60F1">
      <w:pPr>
        <w:pStyle w:val="FirstParagraph"/>
      </w:pPr>
      <w:r>
        <w:t>After a complete migration, the SQL Server authentication posture looks fundamentally different from the inherited state:</w:t>
      </w:r>
    </w:p>
    <w:tbl>
      <w:tblPr>
        <w:tblStyle w:val="Table"/>
        <w:tblW w:w="5000" w:type="pct"/>
        <w:tblLayout w:type="fixed"/>
        <w:tblLook w:val="0020" w:firstRow="1" w:lastRow="0" w:firstColumn="0" w:lastColumn="0" w:noHBand="0" w:noVBand="0"/>
      </w:tblPr>
      <w:tblGrid>
        <w:gridCol w:w="3192"/>
        <w:gridCol w:w="3192"/>
        <w:gridCol w:w="3192"/>
      </w:tblGrid>
      <w:tr w:rsidR="00A50715" w:rsidTr="00A50715">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Authentication Surface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Before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After</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User database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Windows Integrated (Kerberos/NTLM)</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token via Azure Identity SDK</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Service account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 or Windows service account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Managed Identity (credential-free)</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DBA logins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Windows admin accounts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privileged accounts + MFA</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sa account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Enabled (often with default password)</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Disabled and renamed</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Application connections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Integrated Security=SSPI</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Authentication=Active Directory Default</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Linked servers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Passthrough or stored credential</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Service principal or Managed Identity</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Group authorization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AD security groups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dynamic groups (HR-derived)</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MFA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None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Conditional Access on all privileged logins</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Access lifecycle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Manual DBA provisioning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HR attribute-driven dynamic group</w:t>
            </w:r>
          </w:p>
        </w:tc>
      </w:tr>
      <w:tr w:rsidR="00A50715" w:rsidTr="00A50715">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exposure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Ubiquitous, silent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Zero NTLM (domain-wide block)</w:t>
            </w:r>
          </w:p>
        </w:tc>
      </w:tr>
    </w:tbl>
    <w:p w:rsidR="00A50715" w:rsidRDefault="006A60F1">
      <w:pPr>
        <w:pStyle w:val="Heading1"/>
      </w:pPr>
      <w:bookmarkStart w:id="59" w:name="X7c375571acb5b657b96618cf2d2b2b43503bddb"/>
      <w:bookmarkStart w:id="60" w:name="_Toc233818300"/>
      <w:bookmarkEnd w:id="57"/>
      <w:r>
        <w:t>9. Certificate Authority and PKI Dependencies</w:t>
      </w:r>
      <w:bookmarkEnd w:id="60"/>
    </w:p>
    <w:p w:rsidR="00A50715" w:rsidRDefault="006A60F1">
      <w:pPr>
        <w:pStyle w:val="FirstParagraph"/>
      </w:pPr>
      <w:r>
        <w:t>SQL Server uses TLS for transport encryption. The TLS certificate chain anchors to a certificate authority. In federal environments this is typically an internal PKI (usually ADCS) or a FedRAMP-authorized certificate service.</w:t>
      </w:r>
    </w:p>
    <w:p w:rsidR="00A50715" w:rsidRDefault="006A60F1">
      <w:pPr>
        <w:pStyle w:val="BodyText"/>
      </w:pPr>
      <w:r>
        <w:t>When Active Directory is retired or domain-unjoined servers are migrated to Entra, the ADCS infrastructure that issued server certificates must be addressed:</w:t>
      </w:r>
    </w:p>
    <w:p w:rsidR="00A50715" w:rsidRDefault="006A60F1">
      <w:pPr>
        <w:pStyle w:val="BodyText"/>
      </w:pPr>
      <w:r>
        <w:rPr>
          <w:b/>
          <w:bCs/>
        </w:rPr>
        <w:t>Certificate renewal.</w:t>
      </w:r>
      <w:r>
        <w:t xml:space="preserve"> Domain-joined ADCS certificate auto-enrollment stops working when the host is domain-unjoined. A replacement enrollment mechanism — DigiCert, GlobalSign, or equivalent FedRAMP-authorized CA, or Azure Private CA — must be in place before the domain is unjoined.</w:t>
      </w:r>
    </w:p>
    <w:p w:rsidR="00A50715" w:rsidRDefault="006A60F1">
      <w:pPr>
        <w:pStyle w:val="BodyText"/>
      </w:pPr>
      <w:r>
        <w:rPr>
          <w:b/>
          <w:bCs/>
        </w:rPr>
        <w:t>SQL Server TLS configuration.</w:t>
      </w:r>
      <w:r>
        <w:t xml:space="preserve"> </w:t>
      </w:r>
      <w:r>
        <w:t>SQL Server reads its TLS certificate from the local certificate store. The migration from ADCS-issued certificates to a new CA requires updating the SQL Server Configuration Manager to reference the new certificate and restarting the SQL Server service.</w:t>
      </w:r>
    </w:p>
    <w:p w:rsidR="00A50715" w:rsidRDefault="006A60F1">
      <w:pPr>
        <w:pStyle w:val="BodyText"/>
      </w:pPr>
      <w:r>
        <w:rPr>
          <w:b/>
          <w:bCs/>
        </w:rPr>
        <w:t>Certificate pinning.</w:t>
      </w:r>
      <w:r>
        <w:t xml:space="preserve"> Some connection strings or ODBC configurations pin to a specific certificate thumbprint. These must be identified in the dependency inventory and updated before the certificate is replaced.</w:t>
      </w:r>
    </w:p>
    <w:p w:rsidR="00A50715" w:rsidRDefault="006A60F1">
      <w:pPr>
        <w:pStyle w:val="BodyText"/>
      </w:pPr>
      <w:r>
        <w:t>The PKI surface is addressed in Part 1 of this series (Landing Zone IPAM/DDI/PKI). The certificate authority decisions made in Part 1 apply directly to the SQL Server certificate migration described here.</w:t>
      </w:r>
    </w:p>
    <w:p w:rsidR="00A50715" w:rsidRDefault="006A60F1">
      <w:pPr>
        <w:pStyle w:val="Heading1"/>
      </w:pPr>
      <w:bookmarkStart w:id="61" w:name="database-platform-decisions"/>
      <w:bookmarkStart w:id="62" w:name="_Toc233818301"/>
      <w:bookmarkEnd w:id="59"/>
      <w:r>
        <w:t>10. Database Platform Decisions</w:t>
      </w:r>
      <w:bookmarkEnd w:id="62"/>
    </w:p>
    <w:p w:rsidR="00A50715" w:rsidRDefault="006A60F1">
      <w:pPr>
        <w:pStyle w:val="FirstParagraph"/>
      </w:pPr>
      <w:r>
        <w:t>The SQL Server modernization program creates a rationalization gate at which the platform decision for each workload is revisited. SQL Server 2022 with Arc Managed Identity is the primary target, but two alternative platforms are worth evaluating:</w:t>
      </w:r>
    </w:p>
    <w:p w:rsidR="00A50715" w:rsidRDefault="006A60F1">
      <w:pPr>
        <w:pStyle w:val="Heading2"/>
      </w:pPr>
      <w:bookmarkStart w:id="63" w:name="postgresql-for-new-workloads"/>
      <w:bookmarkStart w:id="64" w:name="_Toc233818302"/>
      <w:r>
        <w:t>10.1 PostgreSQL for New Workloads</w:t>
      </w:r>
      <w:bookmarkEnd w:id="64"/>
    </w:p>
    <w:p w:rsidR="00A50715" w:rsidRDefault="006A60F1">
      <w:pPr>
        <w:pStyle w:val="FirstParagraph"/>
      </w:pPr>
      <w:r>
        <w:t>PostgreSQL on Azure Database for PostgreSQL — Flexible Server supports Entra authentication natively. For new database workloads with no existing PL/SQL or T-SQL corpus, PostgreSQL avoids the SQL Server licensing cost and provides equivalent Entra authentication posture.</w:t>
      </w:r>
    </w:p>
    <w:p w:rsidR="00A50715" w:rsidRDefault="006A60F1">
      <w:pPr>
        <w:pStyle w:val="BodyText"/>
      </w:pPr>
      <w:r>
        <w:t>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p w:rsidR="00A50715" w:rsidRDefault="006A60F1">
      <w:pPr>
        <w:pStyle w:val="Heading2"/>
      </w:pPr>
      <w:bookmarkStart w:id="65" w:name="azure-sql-managed-instance"/>
      <w:bookmarkStart w:id="66" w:name="_Toc233818303"/>
      <w:bookmarkEnd w:id="63"/>
      <w:r>
        <w:t>10.2 Azure SQL Managed Instance</w:t>
      </w:r>
      <w:bookmarkEnd w:id="66"/>
    </w:p>
    <w:p w:rsidR="00A50715" w:rsidRDefault="006A60F1">
      <w:pPr>
        <w:pStyle w:val="FirstParagraph"/>
      </w:pPr>
      <w:r>
        <w:t>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rsidR="00A50715" w:rsidRDefault="006A60F1">
      <w:pPr>
        <w:pStyle w:val="BodyText"/>
      </w:pPr>
      <w:r>
        <w:t>The authentication migration described in this document applies to Azure SQL Managed Instance identically — Entra logins, Managed Identity connections, and Conditional Access policies work the same way.</w:t>
      </w:r>
    </w:p>
    <w:p w:rsidR="00A50715" w:rsidRDefault="006A60F1">
      <w:pPr>
        <w:pStyle w:val="Heading1"/>
      </w:pPr>
      <w:bookmarkStart w:id="67" w:name="federal-compliance-alignment"/>
      <w:bookmarkStart w:id="68" w:name="_Toc233818304"/>
      <w:bookmarkEnd w:id="61"/>
      <w:bookmarkEnd w:id="65"/>
      <w:r>
        <w:t>11. Federal Compliance Alignment</w:t>
      </w:r>
      <w:bookmarkEnd w:id="68"/>
    </w:p>
    <w:tbl>
      <w:tblPr>
        <w:tblStyle w:val="Table"/>
        <w:tblW w:w="5000" w:type="pct"/>
        <w:tblLayout w:type="fixed"/>
        <w:tblLook w:val="0000" w:firstRow="0" w:lastRow="0" w:firstColumn="0" w:lastColumn="0" w:noHBand="0" w:noVBand="0"/>
      </w:tblPr>
      <w:tblGrid>
        <w:gridCol w:w="9576"/>
      </w:tblGrid>
      <w:tr w:rsidR="00A50715" w:rsidTr="00A50715">
        <w:tc>
          <w:tcPr>
            <w:tcW w:w="792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jc w:val="center"/>
            </w:pPr>
            <w:bookmarkStart w:id="69" w:name="fig-san06"/>
            <w:r>
              <w:rPr>
                <w:rFonts w:ascii="Arial" w:hAnsi="Arial"/>
                <w:b/>
                <w:noProof/>
                <w:color w:val="FFFFFF"/>
                <w:sz w:val="20"/>
              </w:rPr>
              <w:drawing>
                <wp:inline distT="0" distB="0" distL="0" distR="0">
                  <wp:extent cx="7772400" cy="291465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s/san-fig-06-fedramp-alignment.png"/>
                          <pic:cNvPicPr>
                            <a:picLocks noChangeAspect="1" noChangeArrowheads="1"/>
                          </pic:cNvPicPr>
                        </pic:nvPicPr>
                        <pic:blipFill>
                          <a:blip r:embed="rId11"/>
                          <a:stretch>
                            <a:fillRect/>
                          </a:stretch>
                        </pic:blipFill>
                        <pic:spPr bwMode="auto">
                          <a:xfrm>
                            <a:off x="0" y="0"/>
                            <a:ext cx="7772400" cy="2914650"/>
                          </a:xfrm>
                          <a:prstGeom prst="rect">
                            <a:avLst/>
                          </a:prstGeom>
                          <a:noFill/>
                          <a:ln w="9525">
                            <a:noFill/>
                            <a:headEnd/>
                            <a:tailEnd/>
                          </a:ln>
                        </pic:spPr>
                      </pic:pic>
                    </a:graphicData>
                  </a:graphic>
                </wp:inline>
              </w:drawing>
            </w:r>
          </w:p>
          <w:p w:rsidR="00A50715" w:rsidRDefault="006A60F1">
            <w:pPr>
              <w:pStyle w:val="ImageCaption"/>
              <w:spacing w:before="200"/>
            </w:pPr>
            <w:r>
              <w:rPr>
                <w:rFonts w:ascii="Arial" w:hAnsi="Arial"/>
                <w:b/>
                <w:color w:val="FFFFFF"/>
                <w:sz w:val="20"/>
              </w:rPr>
              <w:t>Figure 6: Each SQL Server modernization milestone directly closes a federal compliance requirement. The cumulative effect is a posture aligned with FedRAMP 20x, Zero Trust, and NTLM elimination mandates.</w:t>
            </w:r>
          </w:p>
        </w:tc>
        <w:bookmarkEnd w:id="69"/>
      </w:tr>
    </w:tbl>
    <w:p w:rsidR="00A50715" w:rsidRDefault="006A60F1">
      <w:pPr>
        <w:pStyle w:val="Heading2"/>
      </w:pPr>
      <w:bookmarkStart w:id="70" w:name="nist-sp-800-53-rev-5-control-closure"/>
      <w:bookmarkStart w:id="71" w:name="_Toc233818305"/>
      <w:r>
        <w:t>11.1 NIST SP 800-53 Rev 5 Control Closure</w:t>
      </w:r>
      <w:bookmarkEnd w:id="71"/>
    </w:p>
    <w:tbl>
      <w:tblPr>
        <w:tblStyle w:val="Table"/>
        <w:tblW w:w="5000" w:type="pct"/>
        <w:tblLayout w:type="fixed"/>
        <w:tblLook w:val="0020" w:firstRow="1" w:lastRow="0" w:firstColumn="0" w:lastColumn="0" w:noHBand="0" w:noVBand="0"/>
      </w:tblPr>
      <w:tblGrid>
        <w:gridCol w:w="2394"/>
        <w:gridCol w:w="2394"/>
        <w:gridCol w:w="2394"/>
        <w:gridCol w:w="2394"/>
      </w:tblGrid>
      <w:tr w:rsidR="00A50715" w:rsidTr="00A50715">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Control Name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Closed By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rsidR="00A50715" w:rsidRDefault="006A60F1">
            <w:pPr>
              <w:pStyle w:val="Compact"/>
            </w:pPr>
            <w:r>
              <w:rPr>
                <w:rFonts w:ascii="Arial" w:hAnsi="Arial"/>
                <w:b/>
                <w:color w:val="FFFFFF"/>
                <w:sz w:val="20"/>
              </w:rPr>
              <w:t>How</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IA-2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Identification and Authentication — Organizational Users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login migration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Token-based authentication replaces Windows Integrated and SQL auth</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IA-3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Device Identification and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Arc Managed Identity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Server identity is cryptographically bound to Arc enrollment</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IA-5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Authenticator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Credential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Managed Identity eliminates stored credentials; sa disabled</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IA-5(1)</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Password-Based Authentication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SQL logins (stored password hashes) removed from all instances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Account Management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dynamic group lifecycle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Access lifecycle driven by HR attributes, not manual DBA requests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AC-3</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Access Enforcement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Database role + Entra group</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Authorization enforced at Entra group membership level</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AC-17</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Remote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Conditional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Remote SQL access gated by device compliance and location policy</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Audit Events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elimination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NTLM eliminated; all authentication produces auditable token events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AU-12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Audit Record Generation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token audit trail</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Entra sign-in logs provide token-level audit for every connection</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CA-7</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Continuous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CCM compliance record</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Continuous monitoring baseline established per FedRAMP 20x requirements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CM-2</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Baseline Configuration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Login inventory documentation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Login migration produces a documented baseline of all database identities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CM-8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System Component Inventory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Estate discovery output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All SQL instances, versions, and logins inventoried and documented</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SC-8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Transmission Confidentiality and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TLS + Arc cert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rsidR="00A50715" w:rsidRDefault="006A60F1">
            <w:pPr>
              <w:pStyle w:val="Compact"/>
            </w:pPr>
            <w:r>
              <w:rPr>
                <w:rFonts w:ascii="Arial" w:hAnsi="Arial"/>
                <w:color w:val="1F3864"/>
                <w:sz w:val="20"/>
              </w:rPr>
              <w:t>SQL Server TLS with Arc-managed certificate for all connections</w:t>
            </w:r>
          </w:p>
        </w:tc>
      </w:tr>
      <w:tr w:rsidR="00A50715" w:rsidTr="00A50715">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SI-4</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System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Zero NTLM monitoring</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rsidR="00A50715" w:rsidRDefault="006A60F1">
            <w:pPr>
              <w:pStyle w:val="Compact"/>
            </w:pPr>
            <w:r>
              <w:rPr>
                <w:rFonts w:ascii="Arial" w:hAnsi="Arial"/>
                <w:color w:val="1F3864"/>
                <w:sz w:val="20"/>
              </w:rPr>
              <w:t>Post-Phase C monitoring for any NTLM recurrence</w:t>
            </w:r>
          </w:p>
        </w:tc>
      </w:tr>
    </w:tbl>
    <w:p w:rsidR="00A50715" w:rsidRDefault="006A60F1">
      <w:pPr>
        <w:pStyle w:val="Heading2"/>
      </w:pPr>
      <w:bookmarkStart w:id="72" w:name="fedramp-20x-key-security-indicators"/>
      <w:bookmarkStart w:id="73" w:name="_Toc233818306"/>
      <w:bookmarkEnd w:id="70"/>
      <w:r>
        <w:t>11.2 FedRAMP 20x Key Security Indicators</w:t>
      </w:r>
      <w:bookmarkEnd w:id="73"/>
    </w:p>
    <w:p w:rsidR="00A50715" w:rsidRDefault="006A60F1">
      <w:pPr>
        <w:pStyle w:val="FirstParagraph"/>
      </w:pPr>
      <w:r>
        <w:t>FedRAMP 20x replaces annual assessment with continuous machine-readable evidence. The SQL Server migration program produces the following KSI evidence artifacts:</w:t>
      </w:r>
    </w:p>
    <w:p w:rsidR="00A50715" w:rsidRDefault="006A60F1">
      <w:pPr>
        <w:pStyle w:val="Compact"/>
        <w:numPr>
          <w:ilvl w:val="0"/>
          <w:numId w:val="8"/>
        </w:numPr>
      </w:pPr>
      <w:r>
        <w:rPr>
          <w:b/>
          <w:bCs/>
        </w:rPr>
        <w:t>Authentication posture report.</w:t>
      </w:r>
      <w:r>
        <w:t xml:space="preserve"> Machine-readable export of all database logins, their types, and their last authentication event. Updated daily from SQL Server audit logs.</w:t>
      </w:r>
    </w:p>
    <w:p w:rsidR="00A50715" w:rsidRDefault="006A60F1">
      <w:pPr>
        <w:pStyle w:val="Compact"/>
        <w:numPr>
          <w:ilvl w:val="0"/>
          <w:numId w:val="8"/>
        </w:numPr>
      </w:pPr>
      <w:r>
        <w:rPr>
          <w:b/>
          <w:bCs/>
        </w:rPr>
        <w:t>NTLM event count.</w:t>
      </w:r>
      <w:r>
        <w:t xml:space="preserve"> Zero-count assertion for NTLM authentication events in the Windows Security log, validated against the Group Policy configuration.</w:t>
      </w:r>
    </w:p>
    <w:p w:rsidR="00A50715" w:rsidRDefault="006A60F1">
      <w:pPr>
        <w:pStyle w:val="Compact"/>
        <w:numPr>
          <w:ilvl w:val="0"/>
          <w:numId w:val="8"/>
        </w:numPr>
      </w:pPr>
      <w:r>
        <w:rPr>
          <w:b/>
          <w:bCs/>
        </w:rPr>
        <w:t>Managed Identity coverage.</w:t>
      </w:r>
      <w:r>
        <w:t xml:space="preserve"> </w:t>
      </w:r>
      <w:r>
        <w:t>Percentage of service account connections using Managed Identity vs. stored credential. Target: 100%.</w:t>
      </w:r>
    </w:p>
    <w:p w:rsidR="00A50715" w:rsidRDefault="006A60F1">
      <w:pPr>
        <w:pStyle w:val="Compact"/>
        <w:numPr>
          <w:ilvl w:val="0"/>
          <w:numId w:val="8"/>
        </w:numPr>
      </w:pPr>
      <w:r>
        <w:rPr>
          <w:b/>
          <w:bCs/>
        </w:rPr>
        <w:t>Conditional Access compliance.</w:t>
      </w:r>
      <w:r>
        <w:t xml:space="preserve"> Percentage of Entra-authenticated SQL connections from compliant devices. Non-compliant connection attempts are blocked and logged.</w:t>
      </w:r>
    </w:p>
    <w:p w:rsidR="00A50715" w:rsidRDefault="006A60F1">
      <w:pPr>
        <w:pStyle w:val="Compact"/>
        <w:numPr>
          <w:ilvl w:val="0"/>
          <w:numId w:val="8"/>
        </w:numPr>
      </w:pPr>
      <w:r>
        <w:rPr>
          <w:b/>
          <w:bCs/>
        </w:rPr>
        <w:t>sa account status.</w:t>
      </w:r>
      <w:r>
        <w:t xml:space="preserve"> Disabled and renamed on all instances. Continuous check via SQL audit.</w:t>
      </w:r>
    </w:p>
    <w:p w:rsidR="00A50715" w:rsidRDefault="006A60F1">
      <w:pPr>
        <w:pStyle w:val="FirstParagraph"/>
      </w:pPr>
      <w:r>
        <w:t>These artifacts satisfy the IA-2, IA-5, AU-2, AU-12, CA-7, and CM-8 KSI requirements under FedRAMP 20x.</w:t>
      </w:r>
    </w:p>
    <w:p w:rsidR="00A50715" w:rsidRDefault="006A60F1">
      <w:pPr>
        <w:pStyle w:val="Heading1"/>
      </w:pPr>
      <w:bookmarkStart w:id="74" w:name="summary"/>
      <w:bookmarkStart w:id="75" w:name="_Toc233818307"/>
      <w:bookmarkEnd w:id="67"/>
      <w:bookmarkEnd w:id="72"/>
      <w:r>
        <w:t>12. Summary</w:t>
      </w:r>
      <w:bookmarkEnd w:id="75"/>
    </w:p>
    <w:p w:rsidR="00A50715" w:rsidRDefault="006A60F1">
      <w:pPr>
        <w:pStyle w:val="FirstParagraph"/>
      </w:pPr>
      <w:r>
        <w:t>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rsidR="00A50715" w:rsidRDefault="006A60F1">
      <w:pPr>
        <w:pStyle w:val="BodyText"/>
      </w:pPr>
      <w:r>
        <w:t>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rsidR="00A50715" w:rsidRDefault="006A60F1">
      <w:pPr>
        <w:pStyle w:val="BodyText"/>
      </w:pPr>
      <w:r>
        <w:t>The certificate authority and PKI decisions from Part 1 of this series provide the transport encryption foundation. The network segmentation and SD-WAN traffic class controls from Parts 2 and 3 provide the network-layer isolation. This part provides the identity and credential foundation. Together they constitute the application-aware networking posture required for FedRAMP 20x authorization.</w:t>
      </w:r>
      <w:bookmarkEnd w:id="74"/>
    </w:p>
    <w:sectPr w:rsidR="00A50715">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D2DC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3808B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48EF4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1063270">
    <w:abstractNumId w:val="0"/>
  </w:num>
  <w:num w:numId="2" w16cid:durableId="183061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3145168">
    <w:abstractNumId w:val="1"/>
  </w:num>
  <w:num w:numId="4" w16cid:durableId="1648898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4437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041097">
    <w:abstractNumId w:val="1"/>
  </w:num>
  <w:num w:numId="7" w16cid:durableId="1547596848">
    <w:abstractNumId w:val="1"/>
  </w:num>
  <w:num w:numId="8" w16cid:durableId="1533109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50715"/>
    <w:rsid w:val="00062A57"/>
    <w:rsid w:val="006A60F1"/>
    <w:rsid w:val="00A50715"/>
    <w:rsid w:val="00E23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AFF8B6-7400-4B81-B8FF-340C01129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062A57"/>
    <w:pPr>
      <w:spacing w:after="100"/>
    </w:pPr>
  </w:style>
  <w:style w:type="paragraph" w:styleId="TOC2">
    <w:name w:val="toc 2"/>
    <w:basedOn w:val="Normal"/>
    <w:next w:val="Normal"/>
    <w:autoRedefine/>
    <w:uiPriority w:val="39"/>
    <w:rsid w:val="00062A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5044</Words>
  <Characters>31023</Characters>
  <Application>Microsoft Office Word</Application>
  <DocSecurity>0</DocSecurity>
  <Lines>2068</Lines>
  <Paragraphs>680</Paragraphs>
  <ScaleCrop>false</ScaleCrop>
  <Company/>
  <LinksUpToDate>false</LinksUpToDate>
  <CharactersWithSpaces>35387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SQL Server Authentication Modernization</dc:title>
  <dc:creator>Federal Cloud Services</dc:creator>
  <cp:keywords/>
  <cp:lastModifiedBy>Michael Stratton</cp:lastModifiedBy>
  <cp:revision>2</cp:revision>
  <dcterms:created xsi:type="dcterms:W3CDTF">2026-07-01T21:08:00Z</dcterms:created>
  <dcterms:modified xsi:type="dcterms:W3CDTF">2026-07-01T21:09:00Z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