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X59a62c83a3b179d7292576e9c1edb111be39f86"/>
    <w:p>
      <w:pPr>
        <w:pStyle w:val="Heading1"/>
      </w:pPr>
      <w:r>
        <w:t xml:space="preserve">FedRAMP 20x Compliance Crosswalk: UIAO Architecture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High Readiness</w:t>
      </w:r>
      <w:r>
        <w:t xml:space="preserve"> </w:t>
      </w:r>
      <w:r>
        <w:rPr>
          <w:bCs/>
          <w:b/>
        </w:rPr>
        <w:t xml:space="preserve">Framework Version:</w:t>
      </w:r>
      <w:r>
        <w:t xml:space="preserve"> </w:t>
      </w:r>
      <w:r>
        <w:t xml:space="preserve">2026.1 (Consolidated Rules)</w:t>
      </w:r>
      <w:r>
        <w:t xml:space="preserve"> </w:t>
      </w:r>
      <w:r>
        <w:rPr>
          <w:bCs/>
          <w:b/>
        </w:rPr>
        <w:t xml:space="preserve">Authorization Level:</w:t>
      </w:r>
      <w:r>
        <w:t xml:space="preserve"> </w:t>
      </w:r>
      <w:r>
        <w:t xml:space="preserve">Moderate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is the machine-generated crosswalk between the</w:t>
      </w:r>
      <w:r>
        <w:t xml:space="preserve"> </w:t>
      </w:r>
      <w:r>
        <w:rPr>
          <w:bCs/>
          <w:b/>
        </w:rPr>
        <w:t xml:space="preserve">Unified Identity-Addressing-Overlay (UIAO)</w:t>
      </w:r>
      <w:r>
        <w:t xml:space="preserve"> </w:t>
      </w:r>
      <w:r>
        <w:t xml:space="preserve">Fundamental Concepts and the</w:t>
      </w:r>
      <w:r>
        <w:t xml:space="preserve"> </w:t>
      </w:r>
      <w:r>
        <w:rPr>
          <w:bCs/>
          <w:b/>
        </w:rPr>
        <w:t xml:space="preserve">NIST 800-53 Rev 5</w:t>
      </w:r>
      <w:r>
        <w:t xml:space="preserve"> </w:t>
      </w:r>
      <w:r>
        <w:t xml:space="preserve">controls required for a FedRAMP Moderate Authorization.</w:t>
      </w:r>
      <w:r>
        <w:t xml:space="preserve"> </w:t>
      </w:r>
      <w:r>
        <w:t xml:space="preserve">Following the</w:t>
      </w:r>
      <w:r>
        <w:t xml:space="preserve"> </w:t>
      </w:r>
      <w:r>
        <w:rPr>
          <w:bCs/>
          <w:b/>
        </w:rPr>
        <w:t xml:space="preserve">FedRAMP 20x</w:t>
      </w:r>
      <w:r>
        <w:t xml:space="preserve"> </w:t>
      </w:r>
      <w:r>
        <w:t xml:space="preserve">mandate, this report transitions from narrative-based compliance to</w:t>
      </w:r>
      <w:r>
        <w:t xml:space="preserve"> </w:t>
      </w:r>
      <w:r>
        <w:rPr>
          <w:bCs/>
          <w:b/>
        </w:rPr>
        <w:t xml:space="preserve">Telemetry-Based Validation</w:t>
      </w:r>
      <w:r>
        <w:t xml:space="preserve"> </w:t>
      </w:r>
      <w:r>
        <w:t xml:space="preserve">using Key Security Indicators (KSIs).</w:t>
      </w:r>
    </w:p>
    <w:p>
      <w:pPr>
        <w:pStyle w:val="BodyText"/>
      </w:pPr>
      <w:r>
        <w:rPr>
          <w:bCs/>
          <w:b/>
        </w:rPr>
        <w:t xml:space="preserve">Compliance Strategy:</w:t>
      </w:r>
      <w:r>
        <w:t xml:space="preserve"> </w:t>
      </w:r>
      <w:r>
        <w:t xml:space="preserve">OSCAL-based Telemetry Validation</w:t>
      </w:r>
    </w:p>
    <w:p>
      <w:r>
        <w:pict>
          <v:rect style="width:0;height:1.5pt" o:hralign="center" o:hrstd="t" o:hr="t"/>
        </w:pict>
      </w:r>
    </w:p>
    <w:bookmarkEnd w:id="20"/>
    <w:bookmarkStart w:id="21" w:name="fundamental-concept-mapping"/>
    <w:p>
      <w:pPr>
        <w:pStyle w:val="Heading2"/>
      </w:pPr>
      <w:r>
        <w:t xml:space="preserve">2. Fundamental Concept Mapping</w:t>
      </w:r>
    </w:p>
    <w:p>
      <w:pPr>
        <w:pStyle w:val="FirstParagraph"/>
      </w:pPr>
      <w:r>
        <w:t xml:space="preserve">The following table maps UIAO architectural principles to required FedRAMP 20x KSI categories.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UIAO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Source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Conversation as Atomic Unit</w:t>
      </w:r>
      <w:r>
        <w:t xml:space="preserve"> </w:t>
      </w:r>
      <w:r>
        <w:t xml:space="preserve">| AC-4 |</w:t>
      </w:r>
      <w:r>
        <w:t xml:space="preserve"> </w:t>
      </w:r>
      <w:r>
        <w:rPr>
          <w:rStyle w:val="VerbatimChar"/>
        </w:rPr>
        <w:t xml:space="preserve">KSI-CNA</w:t>
      </w:r>
      <w:r>
        <w:t xml:space="preserve"> </w:t>
      </w:r>
      <w:r>
        <w:t xml:space="preserve">| Cisco Catalyst SD-WAN Flow Telemetry |</w:t>
      </w:r>
    </w:p>
    <w:p>
      <w:pPr>
        <w:pStyle w:val="BodyText"/>
      </w:pPr>
      <w:r>
        <w:rPr>
          <w:bCs/>
          <w:b/>
        </w:rPr>
        <w:t xml:space="preserve">Identity as Root Namespace</w:t>
      </w:r>
      <w:r>
        <w:t xml:space="preserve"> </w:t>
      </w:r>
      <w:r>
        <w:t xml:space="preserve">| IA-2 / AC-2 |</w:t>
      </w:r>
      <w:r>
        <w:t xml:space="preserve"> </w:t>
      </w:r>
      <w:r>
        <w:rPr>
          <w:rStyle w:val="VerbatimChar"/>
        </w:rPr>
        <w:t xml:space="preserve">KSI-IAM</w:t>
      </w:r>
      <w:r>
        <w:t xml:space="preserve"> </w:t>
      </w:r>
      <w:r>
        <w:t xml:space="preserve">| Microsoft Entra ID / CyberArk Logs |</w:t>
      </w:r>
    </w:p>
    <w:p>
      <w:pPr>
        <w:pStyle w:val="BodyText"/>
      </w:pPr>
      <w:r>
        <w:rPr>
          <w:bCs/>
          <w:b/>
        </w:rPr>
        <w:t xml:space="preserve">Deterministic Addressing</w:t>
      </w:r>
      <w:r>
        <w:t xml:space="preserve"> </w:t>
      </w:r>
      <w:r>
        <w:t xml:space="preserve">| CM-8 / AC-4 |</w:t>
      </w:r>
      <w:r>
        <w:t xml:space="preserve"> </w:t>
      </w:r>
      <w:r>
        <w:rPr>
          <w:rStyle w:val="VerbatimChar"/>
        </w:rPr>
        <w:t xml:space="preserve">KSI-PIY</w:t>
      </w:r>
      <w:r>
        <w:t xml:space="preserve"> </w:t>
      </w:r>
      <w:r>
        <w:t xml:space="preserve">| Infoblox BloxOne DDI API |</w:t>
      </w:r>
    </w:p>
    <w:p>
      <w:pPr>
        <w:pStyle w:val="BodyText"/>
      </w:pPr>
      <w:r>
        <w:rPr>
          <w:bCs/>
          <w:b/>
        </w:rPr>
        <w:t xml:space="preserve">Cert-Anchored Overlay</w:t>
      </w:r>
      <w:r>
        <w:t xml:space="preserve"> </w:t>
      </w:r>
      <w:r>
        <w:t xml:space="preserve">| SC-8 / IA-5 |</w:t>
      </w:r>
      <w:r>
        <w:t xml:space="preserve"> </w:t>
      </w:r>
      <w:r>
        <w:rPr>
          <w:rStyle w:val="VerbatimChar"/>
        </w:rPr>
        <w:t xml:space="preserve">KSI-SVC</w:t>
      </w:r>
      <w:r>
        <w:t xml:space="preserve"> </w:t>
      </w:r>
      <w:r>
        <w:t xml:space="preserve">| Cisco Catalyst SD-WAN mTLS Configuration |</w:t>
      </w:r>
    </w:p>
    <w:p>
      <w:pPr>
        <w:pStyle w:val="BodyText"/>
      </w:pPr>
      <w:r>
        <w:rPr>
          <w:bCs/>
          <w:b/>
        </w:rPr>
        <w:t xml:space="preserve">Telemetry as Control</w:t>
      </w:r>
      <w:r>
        <w:t xml:space="preserve"> </w:t>
      </w:r>
      <w:r>
        <w:t xml:space="preserve">| CA-7 / SI-4 |</w:t>
      </w:r>
      <w:r>
        <w:t xml:space="preserve"> </w:t>
      </w:r>
      <w:r>
        <w:rPr>
          <w:rStyle w:val="VerbatimChar"/>
        </w:rPr>
        <w:t xml:space="preserve">KSI-MLA</w:t>
      </w:r>
      <w:r>
        <w:t xml:space="preserve"> </w:t>
      </w:r>
      <w:r>
        <w:t xml:space="preserve">| Microsoft INR Telemetry Feed |</w:t>
      </w:r>
    </w:p>
    <w:p>
      <w:pPr>
        <w:pStyle w:val="BodyText"/>
      </w:pPr>
      <w:r>
        <w:rPr>
          <w:bCs/>
          <w:b/>
        </w:rPr>
        <w:t xml:space="preserve">Embedded Governance</w:t>
      </w:r>
      <w:r>
        <w:t xml:space="preserve"> </w:t>
      </w:r>
      <w:r>
        <w:t xml:space="preserve">| CM-2 |</w:t>
      </w:r>
      <w:r>
        <w:t xml:space="preserve"> </w:t>
      </w:r>
      <w:r>
        <w:rPr>
          <w:rStyle w:val="VerbatimChar"/>
        </w:rPr>
        <w:t xml:space="preserve">KSI-CMT</w:t>
      </w:r>
      <w:r>
        <w:t xml:space="preserve"> </w:t>
      </w:r>
      <w:r>
        <w:t xml:space="preserve">| GitHub Repository YAML Baseline |</w:t>
      </w:r>
    </w:p>
    <w:p>
      <w:pPr>
        <w:pStyle w:val="BodyText"/>
      </w:pPr>
      <w:r>
        <w:rPr>
          <w:bCs/>
          <w:b/>
        </w:rPr>
        <w:t xml:space="preserve">Public Service First</w:t>
      </w:r>
      <w:r>
        <w:t xml:space="preserve"> </w:t>
      </w:r>
      <w:r>
        <w:t xml:space="preserve">| PT-2 |</w:t>
      </w:r>
      <w:r>
        <w:t xml:space="preserve"> </w:t>
      </w:r>
      <w:r>
        <w:rPr>
          <w:rStyle w:val="VerbatimChar"/>
        </w:rPr>
        <w:t xml:space="preserve">KSI-CED</w:t>
      </w:r>
      <w:r>
        <w:t xml:space="preserve"> </w:t>
      </w:r>
      <w:r>
        <w:t xml:space="preserve">| Identity and Overlay Layer Data Minimization |</w:t>
      </w:r>
    </w:p>
    <w:p>
      <w:r>
        <w:pict>
          <v:rect style="width:0;height:1.5pt" o:hralign="center" o:hrstd="t" o:hr="t"/>
        </w:pict>
      </w:r>
    </w:p>
    <w:bookmarkEnd w:id="21"/>
    <w:bookmarkStart w:id="23" w:name="mandatory-2026-infrastructure-status"/>
    <w:p>
      <w:pPr>
        <w:pStyle w:val="Heading2"/>
      </w:pPr>
      <w:r>
        <w:t xml:space="preserve">3. Mandatory 2026 Infrastructure Status</w:t>
      </w:r>
    </w:p>
    <w:p>
      <w:pPr>
        <w:pStyle w:val="FirstParagraph"/>
      </w:pPr>
      <w:r>
        <w:t xml:space="preserve">To satisfy the</w:t>
      </w:r>
      <w:r>
        <w:t xml:space="preserve"> </w:t>
      </w:r>
      <w:r>
        <w:rPr>
          <w:bCs/>
          <w:b/>
        </w:rPr>
        <w:t xml:space="preserve">FedRAMP Consolidated Rules (CR26)</w:t>
      </w:r>
      <w:r>
        <w:t xml:space="preserve">, the following infrastructure components are active: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Automated Security Inbox:</w:t>
      </w:r>
      <w:r>
        <w:t xml:space="preserve"> </w:t>
      </w:r>
      <w:r>
        <w:rPr>
          <w:rStyle w:val="VerbatimChar"/>
        </w:rPr>
        <w:t xml:space="preserve">automated-triage@agency.gov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OSCAL Machine-Readability:</w:t>
      </w:r>
      <w:r>
        <w:t xml:space="preserve"> </w:t>
      </w:r>
      <w:r>
        <w:t xml:space="preserve">High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mTLS Enforcement:</w:t>
      </w:r>
      <w:r>
        <w:t xml:space="preserve"> </w:t>
      </w:r>
      <w:r>
        <w:t xml:space="preserve">Global</w:t>
      </w:r>
    </w:p>
    <w:bookmarkStart w:id="22" w:name="mandatory-requirements"/>
    <w:p>
      <w:pPr>
        <w:pStyle w:val="Heading3"/>
      </w:pPr>
      <w:r>
        <w:t xml:space="preserve">Mandatory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</w:tr>
    </w:tbl>
    <w:p>
      <w:pPr>
        <w:pStyle w:val="BodyText"/>
      </w:pPr>
      <w:r>
        <w:t xml:space="preserve">NTC-0003 | Automated Security Inbox | Required | 2026-01-05 |</w:t>
      </w:r>
    </w:p>
    <w:p>
      <w:pPr>
        <w:pStyle w:val="BodyText"/>
      </w:pPr>
      <w:r>
        <w:t xml:space="preserve">RFC-0024 | OSCAL Machine-Readability | Required | 2026-09-30 |</w:t>
      </w:r>
    </w:p>
    <w:p>
      <w:pPr>
        <w:pStyle w:val="BodyText"/>
      </w:pPr>
      <w:r>
        <w:t xml:space="preserve">M-24-15 | Phishing-Resistant MFA | Required | 2026-09-30 |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audit-anchor-summary"/>
    <w:p>
      <w:pPr>
        <w:pStyle w:val="Heading2"/>
      </w:pPr>
      <w:r>
        <w:t xml:space="preserve">4. Audit Anchor Summary</w:t>
      </w:r>
    </w:p>
    <w:p>
      <w:pPr>
        <w:pStyle w:val="FirstParagraph"/>
      </w:pPr>
      <w:r>
        <w:t xml:space="preserve">The UIAO architecture provides continuous telemetry via these validated components: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Identity Pillar:</w:t>
      </w:r>
      <w:r>
        <w:t xml:space="preserve"> </w:t>
      </w:r>
      <w:r>
        <w:t xml:space="preserve">Phishing-Resistant MFA (FIDO2/PIV) - Validated by</w:t>
      </w:r>
      <w:r>
        <w:t xml:space="preserve"> </w:t>
      </w:r>
      <w:r>
        <w:rPr>
          <w:iCs/>
          <w:i/>
        </w:rPr>
        <w:t xml:space="preserve">Microsoft Entra ID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Addressing Pillar:</w:t>
      </w:r>
      <w:r>
        <w:t xml:space="preserve"> </w:t>
      </w:r>
      <w:r>
        <w:t xml:space="preserve">Deterministic IPAM - Validated by</w:t>
      </w:r>
      <w:r>
        <w:t xml:space="preserve"> </w:t>
      </w:r>
      <w:r>
        <w:rPr>
          <w:iCs/>
          <w:i/>
        </w:rPr>
        <w:t xml:space="preserve">Infoblox BloxOne API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Overlay Pillar:</w:t>
      </w:r>
      <w:r>
        <w:t xml:space="preserve"> </w:t>
      </w:r>
      <w:r>
        <w:t xml:space="preserve">Encrypted mTLS Service Chain - Validated by</w:t>
      </w:r>
      <w:r>
        <w:t xml:space="preserve"> </w:t>
      </w:r>
      <w:r>
        <w:rPr>
          <w:iCs/>
          <w:i/>
        </w:rPr>
        <w:t xml:space="preserve">Cisco Catalyst + Palo Alto</w:t>
      </w:r>
    </w:p>
    <w:p>
      <w:r>
        <w:pict>
          <v:rect style="width:0;height:1.5pt" o:hralign="center" o:hrstd="t" o:hr="t"/>
        </w:pict>
      </w:r>
    </w:p>
    <w:bookmarkEnd w:id="24"/>
    <w:bookmarkStart w:id="25" w:name="key-security-indicator-ksi-definitions"/>
    <w:p>
      <w:pPr>
        <w:pStyle w:val="Heading2"/>
      </w:pPr>
      <w:r>
        <w:t xml:space="preserve">5. Key Security Indicator (KSI) Definitions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KSI-IAM (Identity):</w:t>
      </w:r>
      <w:r>
        <w:t xml:space="preserve"> </w:t>
      </w:r>
      <w:r>
        <w:t xml:space="preserve">Real-time authentication logs from</w:t>
      </w:r>
      <w:r>
        <w:t xml:space="preserve"> </w:t>
      </w:r>
      <w:r>
        <w:rPr>
          <w:bCs/>
          <w:b/>
        </w:rPr>
        <w:t xml:space="preserve">Microsoft Entra ID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KSI-PIY (Inventory):</w:t>
      </w:r>
      <w:r>
        <w:t xml:space="preserve"> </w:t>
      </w:r>
      <w:r>
        <w:t xml:space="preserve">Deterministic asset discovery via</w:t>
      </w:r>
      <w:r>
        <w:t xml:space="preserve"> </w:t>
      </w:r>
      <w:r>
        <w:rPr>
          <w:bCs/>
          <w:b/>
        </w:rPr>
        <w:t xml:space="preserve">Infoblox</w:t>
      </w:r>
      <w:r>
        <w:t xml:space="preserve"> </w:t>
      </w:r>
      <w:r>
        <w:t xml:space="preserve">APIs.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KSI-MLA (Monitoring):</w:t>
      </w:r>
      <w:r>
        <w:t xml:space="preserve"> </w:t>
      </w:r>
      <w:r>
        <w:t xml:space="preserve">Network health and path data from</w:t>
      </w:r>
      <w:r>
        <w:t xml:space="preserve"> </w:t>
      </w:r>
      <w:r>
        <w:rPr>
          <w:bCs/>
          <w:b/>
        </w:rPr>
        <w:t xml:space="preserve">Cisco/Microsoft INR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KSI-SVC (Crypto):</w:t>
      </w:r>
      <w:r>
        <w:t xml:space="preserve"> </w:t>
      </w:r>
      <w:r>
        <w:t xml:space="preserve">mTLS certificate enforcement at the Overlay layer.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KSI-CMT (Change):</w:t>
      </w:r>
      <w:r>
        <w:t xml:space="preserve"> </w:t>
      </w:r>
      <w:r>
        <w:t xml:space="preserve">GitHub YAML baseline drift detection.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KSI-CNA (Network):</w:t>
      </w:r>
      <w:r>
        <w:t xml:space="preserve"> </w:t>
      </w:r>
      <w:r>
        <w:t xml:space="preserve">Packet-level identity metadata from SD-WAN telemetry.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KSI-CED (Privacy):</w:t>
      </w:r>
      <w:r>
        <w:t xml:space="preserve"> </w:t>
      </w:r>
      <w:r>
        <w:t xml:space="preserve">Data minimization enforcement at Identity and Overlay layers.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by UIAO-Core Automation Engine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2026-03-21T20:42:22Z</dcterms:created>
  <dcterms:modified xsi:type="dcterms:W3CDTF">2026-03-21T20:42:22Z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