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Zero Trust Narrative</w:t>
      </w:r>
    </w:p>
    <w:p>
      <w:pPr>
        <w:spacing w:before="120" w:after="120" w:line="276" w:lineRule="auto"/>
      </w:pPr>
      <w:r>
        <w:rPr>
          <w:rFonts w:ascii="Calibri" w:hAnsi="Calibri"/>
          <w:b/>
          <w:i w:val="0"/>
          <w:sz w:val="22"/>
        </w:rPr>
        <w:t>Version 1.0</w:t>
      </w:r>
    </w:p>
    <w:p>
      <w:pPr>
        <w:pStyle w:val="Heading1"/>
      </w:pPr>
      <w:r>
        <w:rPr>
          <w:color w:val="1B3A5C"/>
        </w:rPr>
        <w:t>Identity as the Perimeter</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1"/>
      </w:pPr>
      <w:r>
        <w:rPr>
          <w:color w:val="1B3A5C"/>
        </w:rPr>
        <w:t>Governance as Automation</w:t>
      </w:r>
    </w:p>
    <w:p>
      <w:pPr>
        <w:spacing w:before="120" w:after="120" w:line="276" w:lineRule="auto"/>
      </w:pPr>
      <w:r>
        <w:rPr>
          <w:rFonts w:ascii="Calibri" w:hAnsi="Calibri"/>
          <w:sz w:val="22"/>
        </w:rPr>
        <w:t>Telemetry becomes an active control input for routing, security, and compliance decisions rather than a passive reporting mechanism.</w:t>
      </w:r>
    </w:p>
    <w:p>
      <w:pPr>
        <w:spacing w:before="120" w:after="120" w:line="276" w:lineRule="auto"/>
      </w:pPr>
      <w:r>
        <w:rPr>
          <w:rFonts w:ascii="Calibri" w:hAnsi="Calibri"/>
          <w:b w:val="0"/>
          <w:i/>
          <w:sz w:val="22"/>
        </w:rPr>
        <w:t>End of Zero Trust Narrative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