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Authorization</w:t>
      </w:r>
      <w:r>
        <w:t xml:space="preserve"> </w:t>
      </w:r>
      <w:r>
        <w:t xml:space="preserve">Boundary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43" w:name="authorization-boundary"/>
    <w:p>
      <w:pPr>
        <w:pStyle w:val="Heading1"/>
      </w:pPr>
      <w:r>
        <w:t xml:space="preserve">Authorization Boundary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Auto-generated</w:t>
      </w:r>
    </w:p>
    <w:p>
      <w:r>
        <w:pict>
          <v:rect style="width:0;height:1.5pt" o:hralign="center" o:hrstd="t" o:hr="t"/>
        </w:pict>
      </w:r>
    </w:p>
    <w:bookmarkStart w:id="22" w:name="boundary-overview"/>
    <w:p>
      <w:pPr>
        <w:pStyle w:val="Heading2"/>
      </w:pPr>
      <w:r>
        <w:t xml:space="preserve">1. Boundary Overview</w:t>
      </w:r>
    </w:p>
    <w:bookmarkStart w:id="20" w:name="system-identification"/>
    <w:p>
      <w:pPr>
        <w:pStyle w:val="Heading3"/>
      </w:pPr>
      <w:r>
        <w:t xml:space="preserve">1.1 System Identification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System Name:</w:t>
      </w:r>
      <w:r>
        <w:t xml:space="preserve"> </w:t>
      </w:r>
      <w:r>
        <w:t xml:space="preserve">UIAO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Acronym:</w:t>
      </w:r>
      <w:r>
        <w:t xml:space="preserve"> </w:t>
      </w:r>
      <w:r>
        <w:t xml:space="preserve">UIAO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Authorization Level:</w:t>
      </w:r>
      <w:r>
        <w:t xml:space="preserve"> </w:t>
      </w:r>
      <w:r>
        <w:t xml:space="preserve">FedRAMP Moderate (NIST 800-53 Rev 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Boundary Owner:</w:t>
      </w:r>
      <w:r>
        <w:t xml:space="preserve"> </w:t>
      </w:r>
      <w:r>
        <w:t xml:space="preserve">UIAO Program Office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</w:p>
    <w:bookmarkEnd w:id="20"/>
    <w:bookmarkStart w:id="21" w:name="boundary-definition"/>
    <w:p>
      <w:pPr>
        <w:pStyle w:val="Heading3"/>
      </w:pPr>
      <w:r>
        <w:t xml:space="preserve">1.2 Boundary Definition</w:t>
      </w:r>
    </w:p>
    <w:p>
      <w:pPr>
        <w:pStyle w:val="FirstParagraph"/>
      </w:pPr>
      <w:r>
        <w:t xml:space="preserve">The UIAO authorization boundary is defined as all hardware,</w:t>
      </w:r>
      <w:r>
        <w:t xml:space="preserve"> </w:t>
      </w:r>
      <w:r>
        <w:t xml:space="preserve">software, infrastructure, data, people, procedures, and facilities that</w:t>
      </w:r>
      <w:r>
        <w:t xml:space="preserve"> </w:t>
      </w:r>
      <w:r>
        <w:t xml:space="preserve">are necessary to operate the system and are under the direct management</w:t>
      </w:r>
      <w:r>
        <w:t xml:space="preserve"> </w:t>
      </w:r>
      <w:r>
        <w:t xml:space="preserve">and security control of the system owner.</w:t>
      </w:r>
    </w:p>
    <w:p>
      <w:pPr>
        <w:pStyle w:val="BodyText"/>
      </w:pPr>
      <w:r>
        <w:t xml:space="preserve">Components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 boundary:</w:t>
      </w:r>
      <w:r>
        <w:t xml:space="preserve"> </w:t>
      </w:r>
      <w:r>
        <w:t xml:space="preserve">- All control plane services managed by the agency</w:t>
      </w:r>
      <w:r>
        <w:t xml:space="preserve"> </w:t>
      </w:r>
      <w:r>
        <w:t xml:space="preserve">- Identity provider and ICAM infrastructure</w:t>
      </w:r>
      <w:r>
        <w:t xml:space="preserve"> </w:t>
      </w:r>
      <w:r>
        <w:t xml:space="preserve">- Network fabric (SD-WAN nodes managed by the agency)</w:t>
      </w:r>
      <w:r>
        <w:t xml:space="preserve"> </w:t>
      </w:r>
      <w:r>
        <w:t xml:space="preserve">- IPAM / DNS platform instances</w:t>
      </w:r>
      <w:r>
        <w:t xml:space="preserve"> </w:t>
      </w:r>
      <w:r>
        <w:t xml:space="preserve">- SIEM and telemetry aggregation infrastructure</w:t>
      </w:r>
      <w:r>
        <w:t xml:space="preserve"> </w:t>
      </w:r>
      <w:r>
        <w:t xml:space="preserve">- Management plane policy engines and orchestration systems</w:t>
      </w:r>
    </w:p>
    <w:p>
      <w:pPr>
        <w:pStyle w:val="BodyText"/>
      </w:pPr>
      <w:r>
        <w:t xml:space="preserve">Components</w:t>
      </w:r>
      <w:r>
        <w:t xml:space="preserve"> </w:t>
      </w:r>
      <w:r>
        <w:rPr>
          <w:bCs/>
          <w:b/>
        </w:rPr>
        <w:t xml:space="preserve">outside</w:t>
      </w:r>
      <w:r>
        <w:t xml:space="preserve"> </w:t>
      </w:r>
      <w:r>
        <w:t xml:space="preserve">the boundary (leveraged services):</w:t>
      </w:r>
      <w:r>
        <w:t xml:space="preserve"> </w:t>
      </w:r>
      <w:r>
        <w:t xml:space="preserve">- FedRAMP-authorized cloud service providers (CSPs)</w:t>
      </w:r>
      <w:r>
        <w:t xml:space="preserve"> </w:t>
      </w:r>
      <w:r>
        <w:t xml:space="preserve">- Third-party SaaS tools with separate ATO packages</w:t>
      </w:r>
      <w:r>
        <w:t xml:space="preserve"> </w:t>
      </w:r>
      <w:r>
        <w:t xml:space="preserve">- Agency physical infrastructure shared with other systems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network-architecture"/>
    <w:p>
      <w:pPr>
        <w:pStyle w:val="Heading2"/>
      </w:pPr>
      <w:r>
        <w:t xml:space="preserve">2. Network Architecture</w:t>
      </w:r>
    </w:p>
    <w:bookmarkStart w:id="23" w:name="high-level-architecture"/>
    <w:p>
      <w:pPr>
        <w:pStyle w:val="Heading3"/>
      </w:pPr>
      <w:r>
        <w:t xml:space="preserve">2.1 High-Level Architecture</w:t>
      </w:r>
    </w:p>
    <w:p>
      <w:pPr>
        <w:pStyle w:val="FirstParagraph"/>
      </w:pPr>
    </w:p>
    <w:bookmarkEnd w:id="23"/>
    <w:bookmarkStart w:id="24" w:name="network-segmentation"/>
    <w:p>
      <w:pPr>
        <w:pStyle w:val="Heading3"/>
      </w:pPr>
      <w:r>
        <w:t xml:space="preserve">2.2 Network Segmentation</w:t>
      </w:r>
    </w:p>
    <w:p>
      <w:pPr>
        <w:pStyle w:val="FirstParagraph"/>
      </w:pPr>
      <w:r>
        <w:t xml:space="preserve">The UIAO network is segmented into the following zones: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Controls 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/ Untrusted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Internet-facing; no direct system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CDN, WAF, NGFW filtering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DMZ / Perimeter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and proxy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termination, API gateway, WAF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IdP and PAM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Trust Policy Engine, Entra ID 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mTLS encryption, micro-segmentation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services and data stores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 at rest, RBAC, audit logging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and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Immutable log storage, restricted write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Orchestration and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Break-glass procedures, session recording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external-connections"/>
    <w:p>
      <w:pPr>
        <w:pStyle w:val="Heading2"/>
      </w:pPr>
      <w:r>
        <w:t xml:space="preserve">3. External Connections</w:t>
      </w:r>
    </w:p>
    <w:bookmarkStart w:id="26" w:name="external-connection-inventory"/>
    <w:p>
      <w:pPr>
        <w:pStyle w:val="Heading3"/>
      </w:pPr>
      <w:r>
        <w:t xml:space="preserve">3.1 External Connection Inventory</w:t>
      </w:r>
    </w:p>
    <w:p>
      <w:pPr>
        <w:pStyle w:val="FirstParagraph"/>
      </w:pPr>
      <w:r>
        <w:t xml:space="preserve">All external connections to the UIAO system boundary are documented below.</w:t>
      </w:r>
      <w:r>
        <w:t xml:space="preserve"> </w:t>
      </w:r>
      <w:r>
        <w:t xml:space="preserve">Connections are reviewed quarterly and updated in this canonical document.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Staff →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Entra ID (Microsoft 365)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HTTPS/DNS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DNSSEC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SD-WAN →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NETCONF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CSP (Azure GovCloud)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ExpressRoute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workloads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</w:tbl>
    <w:bookmarkEnd w:id="26"/>
    <w:bookmarkStart w:id="27" w:name="X807e9baa02cefb7d76f2bd4104f89a58cf06505"/>
    <w:p>
      <w:pPr>
        <w:pStyle w:val="Heading3"/>
      </w:pPr>
      <w:r>
        <w:t xml:space="preserve">3.2 Inherited Controls from Cloud Service Providers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Microsoft (Entra ID + Sentinel):</w:t>
      </w:r>
      <w:r>
        <w:t xml:space="preserve"> </w:t>
      </w:r>
      <w:r>
        <w:t xml:space="preserve">FedRAMP High Authorized (Azure Government)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Cisco (SD-WAN):</w:t>
      </w:r>
      <w:r>
        <w:t xml:space="preserve"> </w:t>
      </w:r>
      <w:r>
        <w:t xml:space="preserve">FedRAMP Moderate Authorized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InfoBlox (BloxOne):</w:t>
      </w:r>
      <w:r>
        <w:t xml:space="preserve"> </w:t>
      </w:r>
      <w:r>
        <w:t xml:space="preserve">FedRAMP Moderate Authorized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CyberArk (PAM):</w:t>
      </w:r>
      <w:r>
        <w:t xml:space="preserve"> </w:t>
      </w:r>
      <w:r>
        <w:t xml:space="preserve">FedRAMP Moderate Authorized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internal-components"/>
    <w:p>
      <w:pPr>
        <w:pStyle w:val="Heading2"/>
      </w:pPr>
      <w:r>
        <w:t xml:space="preserve">4. Internal Components</w:t>
      </w:r>
    </w:p>
    <w:bookmarkStart w:id="33" w:name="component-summary-by-plane"/>
    <w:p>
      <w:pPr>
        <w:pStyle w:val="Heading3"/>
      </w:pPr>
      <w:r>
        <w:t xml:space="preserve">4.1 Component Summary by Plane</w:t>
      </w:r>
    </w:p>
    <w:bookmarkStart w:id="29" w:name="identity-plane-components"/>
    <w:p>
      <w:pPr>
        <w:pStyle w:val="Heading4"/>
      </w:pPr>
      <w:r>
        <w:t xml:space="preserve">Identity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Identity Provider and 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ICAM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governance, credentialing, access reviews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 and session recording</w:t>
            </w:r>
          </w:p>
        </w:tc>
      </w:tr>
    </w:tbl>
    <w:bookmarkEnd w:id="29"/>
    <w:bookmarkStart w:id="30" w:name="network-plane-components"/>
    <w:p>
      <w:pPr>
        <w:pStyle w:val="Heading4"/>
      </w:pPr>
      <w:r>
        <w:t xml:space="preserve">Network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overlay fabric and mTLS transport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gateway and load balancer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filtering and stateful inspection</w:t>
            </w:r>
          </w:p>
        </w:tc>
      </w:tr>
    </w:tbl>
    <w:bookmarkEnd w:id="30"/>
    <w:bookmarkStart w:id="31" w:name="addressing-plane-components"/>
    <w:p>
      <w:pPr>
        <w:pStyle w:val="Heading4"/>
      </w:pPr>
      <w:r>
        <w:t xml:space="preserve">Addressing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IPAM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IP address management and DNS/DHCP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defense and DNSSEC enforcement</w:t>
            </w:r>
          </w:p>
        </w:tc>
      </w:tr>
    </w:tbl>
    <w:bookmarkEnd w:id="31"/>
    <w:bookmarkStart w:id="32" w:name="telemetry-plane-components"/>
    <w:p>
      <w:pPr>
        <w:pStyle w:val="Heading4"/>
      </w:pPr>
      <w:r>
        <w:t xml:space="preserve">Telemetry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Diagnostics and Mitigation asset visibility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Analytics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log aggregation and retention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7" w:name="data-flow-across-boundary"/>
    <w:p>
      <w:pPr>
        <w:pStyle w:val="Heading2"/>
      </w:pPr>
      <w:r>
        <w:t xml:space="preserve">5. Data Flow Across Boundary</w:t>
      </w:r>
    </w:p>
    <w:bookmarkStart w:id="35" w:name="boundary-crossing-data-flows"/>
    <w:p>
      <w:pPr>
        <w:pStyle w:val="Heading3"/>
      </w:pPr>
      <w:r>
        <w:t xml:space="preserve">5.1 Boundary Crossing Data Flows</w:t>
      </w:r>
    </w:p>
    <w:p>
      <w:pPr>
        <w:pStyle w:val="FirstParagraph"/>
      </w:pPr>
      <w:r>
        <w:t xml:space="preserve">All data crossing the authorization boundary is encrypted in transit using</w:t>
      </w:r>
      <w:r>
        <w:t xml:space="preserve"> </w:t>
      </w:r>
      <w:r>
        <w:t xml:space="preserve">TLS 1.3 or IPSec. The following data types traverse the boundary: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Tokens (JWT/SAML)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/ 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 with Entra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Flow Records (IPFIX)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 to Sentinel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Query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API to SIEM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Compliance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MDM compliance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SD-WAN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vManage control plane</w:t>
            </w:r>
          </w:p>
        </w:tc>
      </w:tr>
    </w:tbl>
    <w:bookmarkEnd w:id="35"/>
    <w:bookmarkStart w:id="36" w:name="data-flow-diagram"/>
    <w:p>
      <w:pPr>
        <w:pStyle w:val="Heading3"/>
      </w:pPr>
      <w:r>
        <w:t xml:space="preserve">5.2 Data Flow Diagram</w:t>
      </w:r>
    </w:p>
    <w:p>
      <w:pPr>
        <w:pStyle w:val="FirstParagraph"/>
      </w:pP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ports-protocols-and-services"/>
    <w:p>
      <w:pPr>
        <w:pStyle w:val="Heading2"/>
      </w:pPr>
      <w:r>
        <w:t xml:space="preserve">6. Ports, Protocols, and Services</w:t>
      </w:r>
    </w:p>
    <w:bookmarkStart w:id="38" w:name="allowed-inbound-ports"/>
    <w:p>
      <w:pPr>
        <w:pStyle w:val="Heading3"/>
      </w:pPr>
      <w:r>
        <w:t xml:space="preserve">6.1 Allowed Inbound Ports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agency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access (TLS 1.3 required)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and SAML assertion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resolution (DNSSEC enforced)</w:t>
            </w:r>
          </w:p>
        </w:tc>
      </w:tr>
    </w:tbl>
    <w:bookmarkEnd w:id="38"/>
    <w:bookmarkStart w:id="39" w:name="allowed-outbound-ports"/>
    <w:p>
      <w:pPr>
        <w:pStyle w:val="Heading3"/>
      </w:pPr>
      <w:r>
        <w:t xml:space="preserve">6.2 Allowed Outbound Ports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 and SIEM telemetry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data synchronization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CDM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visibility and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 / 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 / IKEv2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/ 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WAN tunnels</w:t>
            </w:r>
          </w:p>
        </w:tc>
      </w:tr>
    </w:tbl>
    <w:bookmarkEnd w:id="39"/>
    <w:bookmarkStart w:id="40" w:name="blocked-denied-traffic"/>
    <w:p>
      <w:pPr>
        <w:pStyle w:val="Heading3"/>
      </w:pPr>
      <w:r>
        <w:t xml:space="preserve">6.3 Blocked / Denied Traffic</w:t>
      </w:r>
    </w:p>
    <w:p>
      <w:pPr>
        <w:pStyle w:val="FirstParagraph"/>
      </w:pPr>
      <w:r>
        <w:t xml:space="preserve">All traffic not explicitly permitted by the above allowlists is denied at the</w:t>
      </w:r>
      <w:r>
        <w:t xml:space="preserve"> </w:t>
      </w:r>
      <w:r>
        <w:t xml:space="preserve">perimeter firewall and UIAO Gateway. Denied traffic events are logged to</w:t>
      </w:r>
      <w:r>
        <w:t xml:space="preserve"> </w:t>
      </w:r>
      <w:r>
        <w:t xml:space="preserve">Microsoft Sentinel for analysis.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related-documents"/>
    <w:p>
      <w:pPr>
        <w:pStyle w:val="Heading2"/>
      </w:pPr>
      <w:r>
        <w:t xml:space="preserve">7. Related Documents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Full SSP narrative with control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docs/system_inventory_and_components_v1.0.md</w:t>
      </w:r>
      <w:r>
        <w:t xml:space="preserve"> </w:t>
      </w:r>
      <w:r>
        <w:t xml:space="preserve">— Component inventory details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docs/vendor_stack_v1.0.md</w:t>
      </w:r>
      <w:r>
        <w:t xml:space="preserve"> </w:t>
      </w:r>
      <w:r>
        <w:t xml:space="preserve">— Vendor registry and FedRAMP authorization status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boundary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Authorization Boundary V1.0</dc:title>
  <dc:creator>UIAO Modernization Program</dc:creator>
  <cp:keywords/>
  <dcterms:created xsi:type="dcterms:W3CDTF">2026-04-05T19:12:35Z</dcterms:created>
  <dcterms:modified xsi:type="dcterms:W3CDTF">2026-04-05T19:12:35Z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