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Vendor</w:t>
      </w:r>
      <w:r>
        <w:t xml:space="preserve"> </w:t>
      </w:r>
      <w:r>
        <w:t xml:space="preserve">Stack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26" w:name="Xc2d4b1872227839a4879ca90fb3df34596e6b10"/>
    <w:p>
      <w:pPr>
        <w:pStyle w:val="Heading1"/>
      </w:pPr>
      <w:r>
        <w:t xml:space="preserve">UIAO Vendor Technology Stack and Compliance Registry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Auto-compiled from</w:t>
      </w:r>
      <w:r>
        <w:t xml:space="preserve"> </w:t>
      </w:r>
      <w:r>
        <w:rPr>
          <w:rStyle w:val="VerbatimChar"/>
        </w:rPr>
        <w:t xml:space="preserve">data/vendor-stack.yml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provides a comprehensive registry of the core technology vendors that comprise the UIAO architecture. It serves three critical functions within the Documentation-as-Code pipeline: it tracks each vendor’s FedRAMP authorization status, maps vendor capabilities to NIST 800-53 Rev 5 controls, and monitors compliance with active CISA directives including Binding Operational Directives and Emergency Directives.</w:t>
      </w:r>
    </w:p>
    <w:p>
      <w:pPr>
        <w:pStyle w:val="BodyText"/>
      </w:pPr>
      <w:r>
        <w:t xml:space="preserve">Unlike traditional vendor documentation maintained in static Word files or spreadsheets, this registry is machine-generated from structured YAML data stored in the repository. When a vendor releases a critical patch, updates its FedRAMP certification, or when CISA issues a new directive, a single update to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automatically regenerates this document, the FedRAMP Crosswalk, and all downstream compliance artifacts.</w:t>
      </w:r>
    </w:p>
    <w:p>
      <w:r>
        <w:pict>
          <v:rect style="width:0;height:1.5pt" o:hralign="center" o:hrstd="t" o:hr="t"/>
        </w:pict>
      </w:r>
    </w:p>
    <w:bookmarkEnd w:id="20"/>
    <w:bookmarkStart w:id="21" w:name="how-this-document-works"/>
    <w:p>
      <w:pPr>
        <w:pStyle w:val="Heading2"/>
      </w:pPr>
      <w:r>
        <w:t xml:space="preserve">2. How This Document Works</w:t>
      </w:r>
    </w:p>
    <w:p>
      <w:pPr>
        <w:pStyle w:val="FirstParagraph"/>
      </w:pPr>
      <w:r>
        <w:t xml:space="preserve">The vendor stack document is produced through the UIAO Document Compiler pipeline, which operates as follows: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Data Layer:</w:t>
      </w:r>
      <w:r>
        <w:t xml:space="preserve"> </w:t>
      </w:r>
      <w:r>
        <w:t xml:space="preserve">The structured vendor data resides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Template Layer:</w:t>
      </w:r>
      <w:r>
        <w:t xml:space="preserve"> </w:t>
      </w:r>
      <w:r>
        <w:t xml:space="preserve">This Jinja2 template (</w:t>
      </w:r>
      <w:r>
        <w:rPr>
          <w:rStyle w:val="VerbatimChar"/>
        </w:rPr>
        <w:t xml:space="preserve">templates/vendor_stack_v1.0.md.j2</w:t>
      </w:r>
      <w:r>
        <w:t xml:space="preserve">) defines the narrative structure and formatting. It uses Jinja2 loops and conditionals to iterate over the vendor entries and render them into readable Markdown.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Generation Engine: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scripts/generate_docs.py</w:t>
      </w:r>
      <w:r>
        <w:t xml:space="preserve"> </w:t>
      </w:r>
      <w:r>
        <w:t xml:space="preserve">Python script loads the canon YAML and all</w:t>
      </w:r>
      <w:r>
        <w:t xml:space="preserve"> </w:t>
      </w:r>
      <w:r>
        <w:rPr>
          <w:rStyle w:val="VerbatimChar"/>
        </w:rPr>
        <w:t xml:space="preserve">data/*.yml</w:t>
      </w:r>
      <w:r>
        <w:t xml:space="preserve"> </w:t>
      </w:r>
      <w:r>
        <w:t xml:space="preserve">files, merges them into a unified context dictionary, and passes that context to each Jinja2 template. The template engine replaces variable placeholders with actual data values.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CI/CD Pipeline: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branch, a GitHub Actions workflow (</w:t>
      </w:r>
      <w:r>
        <w:rPr>
          <w:rStyle w:val="VerbatimChar"/>
        </w:rPr>
        <w:t xml:space="preserve">.github/workflows/docs.yml</w:t>
      </w:r>
      <w:r>
        <w:t xml:space="preserve">) triggers the generation script. The output is written to both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directories, then committed back to the repository automatically.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Website Delivery:</w:t>
      </w:r>
      <w:r>
        <w:t xml:space="preserve"> </w:t>
      </w:r>
      <w:r>
        <w:t xml:space="preserve">The GitHub Pages site at</w:t>
      </w:r>
      <w:r>
        <w:t xml:space="preserve"> </w:t>
      </w:r>
      <w:r>
        <w:rPr>
          <w:rStyle w:val="VerbatimChar"/>
        </w:rPr>
        <w:t xml:space="preserve">https://whalermike.github.io/uiao-core/</w:t>
      </w:r>
      <w:r>
        <w:t xml:space="preserve"> </w:t>
      </w:r>
      <w:r>
        <w:t xml:space="preserve">reads the generated Markdown from the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directory and renders it through the USWDS-styled Document Compiler interface, where it can be viewed inline or downloaded in Markdown, Word, PDF, or HTML formats.</w:t>
      </w:r>
    </w:p>
    <w:p>
      <w:r>
        <w:pict>
          <v:rect style="width:0;height:1.5pt" o:hralign="center" o:hrstd="t" o:hr="t"/>
        </w:pict>
      </w:r>
    </w:p>
    <w:bookmarkEnd w:id="21"/>
    <w:bookmarkStart w:id="22" w:name="core-vendor-registry"/>
    <w:p>
      <w:pPr>
        <w:pStyle w:val="Heading2"/>
      </w:pPr>
      <w:r>
        <w:t xml:space="preserve">3. Core Vendor Registry</w:t>
      </w:r>
    </w:p>
    <w:p>
      <w:pPr>
        <w:pStyle w:val="FirstParagraph"/>
      </w:pPr>
      <w:r>
        <w:t xml:space="preserve">The UIAO architecture integrates five primary technology vendors, each mapped to a specific architectural pillar. Under FedRAMP 20x (2026 Consolidated Rules), all vendors are classified using the new Class-based system, where Class C corresponds to the legacy Moderate baseline.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external-security-baselines"/>
    <w:p>
      <w:pPr>
        <w:pStyle w:val="Heading2"/>
      </w:pPr>
      <w:r>
        <w:t xml:space="preserve">4. External Security Baselines</w:t>
      </w:r>
    </w:p>
    <w:p>
      <w:pPr>
        <w:pStyle w:val="FirstParagraph"/>
      </w:pPr>
      <w:r>
        <w:t xml:space="preserve">The UIAO architecture integrates with CISA’s Secure Cloud Business Applications (SCuBA) project to provide automated compliance validation and continuous reporting as required by BOD 25-01.</w:t>
      </w:r>
    </w:p>
    <w:p>
      <w:r>
        <w:pict>
          <v:rect style="width:0;height:1.5pt" o:hralign="center" o:hrstd="t" o:hr="t"/>
        </w:pict>
      </w:r>
    </w:p>
    <w:bookmarkEnd w:id="23"/>
    <w:bookmarkStart w:id="24" w:name="active-cisa-directives"/>
    <w:p>
      <w:pPr>
        <w:pStyle w:val="Heading2"/>
      </w:pPr>
      <w:r>
        <w:t xml:space="preserve">5. Active CISA Directives</w:t>
      </w:r>
    </w:p>
    <w:p>
      <w:pPr>
        <w:pStyle w:val="FirstParagraph"/>
      </w:pPr>
      <w:r>
        <w:t xml:space="preserve">The following Binding Operational Directives (BODs) and Emergency Directives (EDs) are actively tracked in this repository. Compliance status is updated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and reflected automatically in all generated documents.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Vendor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maintaining-this-document"/>
    <w:p>
      <w:pPr>
        <w:pStyle w:val="Heading2"/>
      </w:pPr>
      <w:r>
        <w:t xml:space="preserve">6. Maintaining This Document</w:t>
      </w:r>
    </w:p>
    <w:p>
      <w:pPr>
        <w:pStyle w:val="FirstParagraph"/>
      </w:pPr>
      <w:r>
        <w:t xml:space="preserve">This document is automatically regenerated whenever changes are pushed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To update vendor information:</w:t>
      </w:r>
    </w:p>
    <w:p>
      <w:pPr>
        <w:numPr>
          <w:ilvl w:val="0"/>
          <w:numId w:val="1002"/>
        </w:numPr>
        <w:pStyle w:val="Compact"/>
      </w:pPr>
      <w:r>
        <w:t xml:space="preserve">Edit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with the new vendor version, directive status, or certification update.</w:t>
      </w:r>
    </w:p>
    <w:p>
      <w:pPr>
        <w:numPr>
          <w:ilvl w:val="0"/>
          <w:numId w:val="1002"/>
        </w:numPr>
        <w:pStyle w:val="Compact"/>
      </w:pPr>
      <w:r>
        <w:t xml:space="preserve">Commit and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The GitHub Actions workflow will regenerate all documents, including this one.</w:t>
      </w:r>
    </w:p>
    <w:p>
      <w:pPr>
        <w:numPr>
          <w:ilvl w:val="0"/>
          <w:numId w:val="1002"/>
        </w:numPr>
        <w:pStyle w:val="Compact"/>
      </w:pPr>
      <w:r>
        <w:t xml:space="preserve">The updated document will appear on the UIAO-Core website within minutes.</w:t>
      </w:r>
    </w:p>
    <w:p>
      <w:pPr>
        <w:pStyle w:val="FirstParagraph"/>
      </w:pPr>
      <w:r>
        <w:t xml:space="preserve">This approach ensures that the vendor compliance registry is never stale, always version-controlled, and permanently auditable through Git history.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Vendor Stack V1.0</dc:title>
  <dc:creator>UIAO Modernization Program</dc:creator>
  <cp:keywords/>
  <dcterms:created xsi:type="dcterms:W3CDTF">2026-04-05T19:12:36Z</dcterms:created>
  <dcterms:modified xsi:type="dcterms:W3CDTF">2026-04-05T19:12:36Z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