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01 — SSA Landing Zone, IPAM &amp; FedRAMP</w:t>
      </w:r>
    </w:p>
    <w:p>
      <w:r>
        <w:rPr>
          <w:i/>
          <w:color w:val="5A5A5A"/>
          <w:sz w:val="24"/>
        </w:rPr>
        <w:t>AAN module: DDI (DNS · DHCP · IPAM · PKI) as a foundational security control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Book_01 SSA Landing Zone IPAM FedRAMP &lt;https://github.com/WhalerMike/uiao/blob/main/inbox/Application%20Aware%20Networking/Book_01_Federal_Application_Aware_Networking_SSA_Landing_Zone_IPAM_FedRAMP.qmd&gt; · </w:t>
      </w:r>
      <w:r>
        <w:rPr>
          <w:b/>
          <w:sz w:val="22"/>
        </w:rPr>
        <w:t>Evidence slot:</w:t>
      </w:r>
      <w:r>
        <w:rPr>
          <w:sz w:val="22"/>
        </w:rPr>
        <w:t xml:space="preserve"> 2 — addressing (KSI-PIY, CM-8 / AC-4) · </w:t>
      </w:r>
      <w:r>
        <w:rPr>
          <w:b/>
          <w:sz w:val="22"/>
        </w:rPr>
        <w:t>Track modules:</w:t>
      </w:r>
      <w:r>
        <w:rPr>
          <w:sz w:val="22"/>
        </w:rPr>
        <w:t xml:space="preserve"> A2, B1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>DDI (DNS, DHCP, IPAM) is a foundational security control, not plumbing. The agency's four cloud environments (VMware VCF, Azure Government GCC, AWS GovCloud, Oracle OCI) — none of which uses broadcast DHCP — require a unified Infoblox DDI control plane. One deployment closes 16 NIST controls, enforces the M365 GCC boundary, and produces machine-readable FedRAMP 20x KSI evidence via WAPI.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Explain why SDN fabrics (NSX-T DHCP profiles, Azure fabric IP injection, AWS Nitro/DHCP options sets, OCI VNIC) break broadcast DHCP and demand an IPAM overlay.</w:t>
      </w:r>
    </w:p>
    <w:p>
      <w:pPr>
        <w:pStyle w:val="ListBullet"/>
      </w:pPr>
      <w:r>
        <w:rPr>
          <w:sz w:val="22"/>
        </w:rPr>
        <w:t>Describe the atomic provisioning lifecycle: IP allocation → DNS A/PTR → SCEP/EST certificate enrollment → certificate-tracker binding → 90/30/7-day expiry alerts.</w:t>
      </w:r>
    </w:p>
    <w:p>
      <w:pPr>
        <w:pStyle w:val="ListBullet"/>
      </w:pPr>
      <w:r>
        <w:rPr>
          <w:sz w:val="22"/>
        </w:rPr>
        <w:t>Design a namespace hierarchy (functional/environment/cloud/split-horizon, ≤3 labels) that aligns wildcard certificate scope, RPZ policy, and DNS views.</w:t>
      </w:r>
    </w:p>
    <w:p>
      <w:pPr>
        <w:pStyle w:val="ListBullet"/>
      </w:pPr>
      <w:r>
        <w:rPr>
          <w:sz w:val="22"/>
        </w:rPr>
        <w:t>Configure split-horizon views so private zones return NXDOMAIN externally.</w:t>
      </w:r>
    </w:p>
    <w:p>
      <w:pPr>
        <w:pStyle w:val="ListBullet"/>
      </w:pPr>
      <w:r>
        <w:rPr>
          <w:sz w:val="22"/>
        </w:rPr>
        <w:t>Map Infoblox capabilities to the 16 NIST controls and their evidence artifacts.</w:t>
      </w:r>
    </w:p>
    <w:p>
      <w:pPr>
        <w:pStyle w:val="ListBullet"/>
      </w:pPr>
      <w:r>
        <w:rPr>
          <w:sz w:val="22"/>
        </w:rPr>
        <w:t>Explain M365 GCC endpoint lifecycle automation (daily API poll → RPZ allow/block, NSG, security-group, split-tunnel updates).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Infoblox BloxOne DDI Federal (FedRAMP CSO, hosted on AWS GovCloud; inherited ATO for PL-8).</w:t>
      </w:r>
    </w:p>
    <w:p>
      <w:pPr>
        <w:pStyle w:val="ListBullet"/>
      </w:pPr>
      <w:r>
        <w:rPr>
          <w:sz w:val="22"/>
        </w:rPr>
        <w:t>Four network views over four environments; cross-cloud CIDR conflict detection.</w:t>
      </w:r>
    </w:p>
    <w:p>
      <w:pPr>
        <w:pStyle w:val="ListBullet"/>
      </w:pPr>
      <w:r>
        <w:rPr>
          <w:sz w:val="22"/>
        </w:rPr>
        <w:t>Route 53 private-zone DNSSEC gap closed by Grid signing.</w:t>
      </w:r>
    </w:p>
    <w:p>
      <w:pPr>
        <w:pStyle w:val="ListBullet"/>
      </w:pPr>
      <w:r>
        <w:rPr>
          <w:sz w:val="22"/>
        </w:rPr>
        <w:t>RPZ + CISA Protective DNS + TIDE threat intel; RPZ scoping by zone.</w:t>
      </w:r>
    </w:p>
    <w:p>
      <w:pPr>
        <w:pStyle w:val="ListBullet"/>
      </w:pPr>
      <w:r>
        <w:rPr>
          <w:sz w:val="22"/>
        </w:rPr>
        <w:t>Certificate-to-IP binding as zero-trust machine identity ("certificate possession = boundary membership").</w:t>
      </w:r>
    </w:p>
    <w:p>
      <w:pPr>
        <w:pStyle w:val="ListBullet"/>
      </w:pPr>
      <w:r>
        <w:rPr>
          <w:sz w:val="22"/>
        </w:rPr>
        <w:t>Three-layer boundary enforcement: IPAM defines, DNS enforces egress, certificates carry identity.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sz w:val="22"/>
        </w:rPr>
        <w:t>Phase 0 (month 1): marketplace procurement; CIDR audit and network-view design.</w:t>
      </w:r>
    </w:p>
    <w:p>
      <w:pPr>
        <w:pStyle w:val="ListNumber"/>
      </w:pPr>
      <w:r>
        <w:rPr>
          <w:sz w:val="22"/>
        </w:rPr>
        <w:t>Phase 1 (months 1–3): Grid Master HA, AD zone import, DNSSEC + DS record, DHCP migration, syslog to SIEM, SCEP connector, first CM-8 export.</w:t>
      </w:r>
    </w:p>
    <w:p>
      <w:pPr>
        <w:pStyle w:val="ListNumber"/>
      </w:pPr>
      <w:r>
        <w:rPr>
          <w:sz w:val="22"/>
        </w:rPr>
        <w:t>Phase 2 (months 2–4): VCF WAPI IPAM backend; NSX-T DNS to Grid.</w:t>
      </w:r>
    </w:p>
    <w:p>
      <w:pPr>
        <w:pStyle w:val="ListNumber"/>
      </w:pPr>
      <w:r>
        <w:rPr>
          <w:sz w:val="22"/>
        </w:rPr>
        <w:t>Phase 3 (months 3–5): Azure Grid member, Key Vault polling, M365 GCC endpoint automation.</w:t>
      </w:r>
    </w:p>
    <w:p>
      <w:pPr>
        <w:pStyle w:val="ListNumber"/>
      </w:pPr>
      <w:r>
        <w:rPr>
          <w:sz w:val="22"/>
        </w:rPr>
        <w:t>Phase 4 (months 5–7): AWS Grid member, DHCP options, ACM CNAME automation, Security Hub integration.</w:t>
      </w:r>
    </w:p>
    <w:p>
      <w:pPr>
        <w:pStyle w:val="ListNumber"/>
      </w:pPr>
      <w:r>
        <w:rPr>
          <w:sz w:val="22"/>
        </w:rPr>
        <w:t>Phase 5 (months 7–9): OPM HRIT external host records, conditional forwarders, SA-9 documentation.</w:t>
      </w:r>
    </w:p>
    <w:p>
      <w:pPr>
        <w:pStyle w:val="ListNumber"/>
      </w:pPr>
      <w:r>
        <w:rPr>
          <w:sz w:val="22"/>
        </w:rPr>
        <w:t>Phase 6 (months 9–12): SSP ATO inheritance, scheduled evidence exports, atomic IaC pipeline, 20x KSI checks as CI/CD tests.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SC-20/20(1), SC-21, SC-22, SC-7/7(7), SC-8/8(1), CM-8/8(1), CM-2, CM-6, SA-9, IA-5(2), IA-9, AU-2, AU-12, IR-4, IR-5, SI-3/3(1), PL-8. FedRAMP 20x KSI table (DNSSEC, protective DNS, inventory currency, no CIDR overlap, cert auto-renewal, machine identity, auditable DNS changes); CISA ZTMM v2.0 Networks pillar at Advanced.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 xml:space="preserve">Terraform the namespace: delegated zones plus a low-TTL blue/green CNAME with the </w:t>
      </w:r>
      <w:r>
        <w:rPr>
          <w:rFonts w:ascii="Consolas" w:hAnsi="Consolas"/>
          <w:sz w:val="22"/>
        </w:rPr>
        <w:t>infoblox/infoblox</w:t>
      </w:r>
      <w:r>
        <w:rPr>
          <w:sz w:val="22"/>
        </w:rPr>
        <w:t xml:space="preserve"> provider.</w:t>
      </w:r>
    </w:p>
    <w:p>
      <w:pPr>
        <w:pStyle w:val="ListNumber"/>
      </w:pPr>
      <w:r>
        <w:rPr>
          <w:sz w:val="22"/>
        </w:rPr>
        <w:t>Split-horizon lab: three DNS views returning private IP / cloud endpoint / NXDOMAIN for the same FQDN; verify external NXDOMAIN.</w:t>
      </w:r>
    </w:p>
    <w:p>
      <w:pPr>
        <w:pStyle w:val="ListNumber"/>
      </w:pPr>
      <w:r>
        <w:rPr>
          <w:sz w:val="22"/>
        </w:rPr>
        <w:t>Simulate the M365 GCC pipeline: poll the Microsoft 365 IP &amp; URL web service, diff versions, emit RPZ and NSG updates.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Manual M365 endpoint handling: 8–12 changes/year × four enforcement layers = multi-day boundary-gap windows.</w:t>
      </w:r>
    </w:p>
    <w:p>
      <w:pPr>
        <w:pStyle w:val="ListBullet"/>
      </w:pPr>
      <w:r>
        <w:rPr>
          <w:sz w:val="22"/>
        </w:rPr>
        <w:t>Relying on Route 53 private zones for SC-20 — they cannot be DNSSEC-signed.</w:t>
      </w:r>
    </w:p>
    <w:p>
      <w:pPr>
        <w:pStyle w:val="ListBullet"/>
      </w:pPr>
      <w:r>
        <w:rPr>
          <w:sz w:val="22"/>
        </w:rPr>
        <w:t xml:space="preserve">Undisciplined namespace depth: </w:t>
      </w:r>
      <w:r>
        <w:rPr>
          <w:rFonts w:ascii="Consolas" w:hAnsi="Consolas"/>
          <w:sz w:val="22"/>
        </w:rPr>
        <w:t>*.example.gov</w:t>
      </w:r>
      <w:r>
        <w:rPr>
          <w:sz w:val="22"/>
        </w:rPr>
        <w:t xml:space="preserve"> covers only one label (RFC 6125); accidental split-brain from unmanaged duplication.</w:t>
      </w:r>
    </w:p>
    <w:p>
      <w:pPr>
        <w:pStyle w:val="ListBullet"/>
      </w:pPr>
      <w:r>
        <w:rPr>
          <w:sz w:val="22"/>
        </w:rPr>
        <w:t>Applying RPZ at record level instead of zone level.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Infoblox Education, BlueCat Training, AZ-700.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00 · </w:t>
      </w:r>
      <w:r>
        <w:rPr>
          <w:b/>
          <w:sz w:val="22"/>
        </w:rPr>
        <w:t>Next:</w:t>
      </w:r>
      <w:r>
        <w:rPr>
          <w:sz w:val="22"/>
        </w:rPr>
        <w:t xml:space="preserve"> Book 02 — Network Modernization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