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05 — SQL Server Implementation Guide</w:t>
      </w:r>
    </w:p>
    <w:p>
      <w:r>
        <w:rPr>
          <w:i/>
          <w:color w:val="5A5A5A"/>
          <w:sz w:val="24"/>
        </w:rPr>
        <w:t>AAN module: the ten-runbook operational companion to Book 04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Book_05 SQL Server Implementation Guide &lt;https://github.com/WhalerMike/uiao/blob/main/inbox/Application%20Aware%20Networking/Book_05_Federal_Application_Aware_Networking_SQL_Server_Implementation_Guide.qmd&gt; · </w:t>
      </w:r>
      <w:r>
        <w:rPr>
          <w:b/>
          <w:sz w:val="22"/>
        </w:rPr>
        <w:t>Evidence slot:</w:t>
      </w:r>
      <w:r>
        <w:rPr>
          <w:sz w:val="22"/>
        </w:rPr>
        <w:t xml:space="preserve"> procedural evidence for slot 1 (Book 04) · </w:t>
      </w:r>
      <w:r>
        <w:rPr>
          <w:b/>
          <w:sz w:val="22"/>
        </w:rPr>
        <w:t>Track modules:</w:t>
      </w:r>
      <w:r>
        <w:rPr>
          <w:sz w:val="22"/>
        </w:rPr>
        <w:t xml:space="preserve"> A1, B3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operational companion to Book 04: ten sequential runbooks with commands, T-SQL/PowerShell scripts, and configuration templates for Arc enrollment, login migration, NTLM elimination, Conditional Access, application chain updates, monitoring, and certificate discovery. Thesis: the migration is executable safely because </w:t>
      </w:r>
      <w:r>
        <w:rPr>
          <w:b/>
          <w:sz w:val="22"/>
        </w:rPr>
        <w:t>every destructive action has a documented undo path, gated by hard checkpoints</w:t>
      </w:r>
      <w:r>
        <w:rPr>
          <w:sz w:val="22"/>
        </w:rPr>
        <w:t xml:space="preserve"> — the first irreversible action (</w:t>
      </w:r>
      <w:r>
        <w:rPr>
          <w:rFonts w:ascii="Consolas" w:hAnsi="Consolas"/>
          <w:sz w:val="22"/>
        </w:rPr>
        <w:t>DROP LOGIN</w:t>
      </w:r>
      <w:r>
        <w:rPr>
          <w:sz w:val="22"/>
        </w:rPr>
        <w:t>) sits behind a 30-day observation gate.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Verify prerequisites: Azure endpoints, Arc onboarding role, toolchain (Azure CLI ≥2.50, SSMS 19+, sqlcmd, setspn), dedicated service accounts.</w:t>
      </w:r>
    </w:p>
    <w:p>
      <w:pPr>
        <w:pStyle w:val="ListBullet"/>
      </w:pPr>
      <w:r>
        <w:rPr>
          <w:sz w:val="22"/>
        </w:rPr>
        <w:t xml:space="preserve">Discover the estate via SPN inventory, audit auth schemes with </w:t>
      </w:r>
      <w:r>
        <w:rPr>
          <w:rFonts w:ascii="Consolas" w:hAnsi="Consolas"/>
          <w:sz w:val="22"/>
        </w:rPr>
        <w:t>sys.dm_exec_sessions</w:t>
      </w:r>
      <w:r>
        <w:rPr>
          <w:sz w:val="22"/>
        </w:rPr>
        <w:t>, and assign retain/consolidate/retire dispositions.</w:t>
      </w:r>
    </w:p>
    <w:p>
      <w:pPr>
        <w:pStyle w:val="ListBullet"/>
      </w:pPr>
      <w:r>
        <w:rPr>
          <w:sz w:val="22"/>
        </w:rPr>
        <w:t xml:space="preserve">Enroll a server in Arc, install the </w:t>
      </w:r>
      <w:r>
        <w:rPr>
          <w:rFonts w:ascii="Consolas" w:hAnsi="Consolas"/>
          <w:sz w:val="22"/>
        </w:rPr>
        <w:t>WindowsAgent.SqlServer</w:t>
      </w:r>
      <w:r>
        <w:rPr>
          <w:sz w:val="22"/>
        </w:rPr>
        <w:t xml:space="preserve"> extension, validate the Managed Identity token endpoint (localhost:40342), and enable the external authentication provider.</w:t>
      </w:r>
    </w:p>
    <w:p>
      <w:pPr>
        <w:pStyle w:val="ListBullet"/>
      </w:pPr>
      <w:r>
        <w:rPr>
          <w:sz w:val="22"/>
        </w:rPr>
        <w:t>Execute the four-phase login migration in T-SQL with a tracking table and satisfy the five closure conditions of the authentication audit.</w:t>
      </w:r>
    </w:p>
    <w:p>
      <w:pPr>
        <w:pStyle w:val="ListBullet"/>
      </w:pPr>
      <w:r>
        <w:rPr>
          <w:sz w:val="22"/>
        </w:rPr>
        <w:t xml:space="preserve">Remediate NTLM: register all four SPN variants, fix </w:t>
      </w:r>
      <w:r>
        <w:rPr>
          <w:rFonts w:ascii="Consolas" w:hAnsi="Consolas"/>
          <w:sz w:val="22"/>
        </w:rPr>
        <w:t>uses_self_credential</w:t>
      </w:r>
      <w:r>
        <w:rPr>
          <w:sz w:val="22"/>
        </w:rPr>
        <w:t xml:space="preserve"> linked servers, set </w:t>
      </w:r>
      <w:r>
        <w:rPr>
          <w:rFonts w:ascii="Consolas" w:hAnsi="Consolas"/>
          <w:sz w:val="22"/>
        </w:rPr>
        <w:t>LmCompatibilityLevel = 5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>Build the Entra group naming convention, dynamic membership rules, and the two Conditional Access policies (compliant device; admin MFA).</w:t>
      </w:r>
    </w:p>
    <w:p>
      <w:pPr>
        <w:pStyle w:val="ListBullet"/>
      </w:pPr>
      <w:r>
        <w:rPr>
          <w:sz w:val="22"/>
        </w:rPr>
        <w:t>Schedule drift-detection queries and produce the daily JSON compliance record.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 xml:space="preserve">Ten-runbook run order with the consolidation gate as a </w:t>
      </w:r>
      <w:r>
        <w:rPr>
          <w:b/>
          <w:sz w:val="22"/>
        </w:rPr>
        <w:t>real gate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 xml:space="preserve">Safety model: everything before </w:t>
      </w:r>
      <w:r>
        <w:rPr>
          <w:rFonts w:ascii="Consolas" w:hAnsi="Consolas"/>
          <w:sz w:val="22"/>
        </w:rPr>
        <w:t>DROP LOGIN</w:t>
      </w:r>
      <w:r>
        <w:rPr>
          <w:sz w:val="22"/>
        </w:rPr>
        <w:t xml:space="preserve"> is reversible.</w:t>
      </w:r>
    </w:p>
    <w:p>
      <w:pPr>
        <w:pStyle w:val="ListBullet"/>
      </w:pPr>
      <w:r>
        <w:rPr>
          <w:sz w:val="22"/>
        </w:rPr>
        <w:t>Arc enrollment is per-server, not per-instance; SQL 2019 ESU free via Arc; SQL 2022 as target.</w:t>
      </w:r>
    </w:p>
    <w:p>
      <w:pPr>
        <w:pStyle w:val="ListBullet"/>
      </w:pPr>
      <w:r>
        <w:rPr>
          <w:sz w:val="22"/>
        </w:rPr>
        <w:t>Group naming convention (</w:t>
      </w:r>
      <w:r>
        <w:rPr>
          <w:rFonts w:ascii="Consolas" w:hAnsi="Consolas"/>
          <w:sz w:val="22"/>
        </w:rPr>
        <w:t>SQL-{database}-ReadWrite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SQL-SVC-{application}</w:t>
      </w:r>
      <w:r>
        <w:rPr>
          <w:sz w:val="22"/>
        </w:rPr>
        <w:t>); Azure SQL App ID for Conditional Access targeting.</w:t>
      </w:r>
    </w:p>
    <w:p>
      <w:pPr>
        <w:pStyle w:val="ListBullet"/>
      </w:pPr>
      <w:r>
        <w:rPr>
          <w:sz w:val="22"/>
        </w:rPr>
        <w:t xml:space="preserve">Certificate discovery (TLS thumbprint, ADCS-issuer detection, pinning search) </w:t>
      </w:r>
      <w:r>
        <w:rPr>
          <w:b/>
          <w:sz w:val="22"/>
        </w:rPr>
        <w:t>before</w:t>
      </w:r>
      <w:r>
        <w:rPr>
          <w:sz w:val="22"/>
        </w:rPr>
        <w:t xml:space="preserve"> any domain unjoin.</w:t>
      </w:r>
    </w:p>
    <w:p>
      <w:pPr>
        <w:pStyle w:val="Heading2"/>
      </w:pPr>
      <w:r>
        <w:rPr>
          <w:color w:val="0D1B2E"/>
        </w:rPr>
        <w:t>Implementation sequence (the run order)</w:t>
      </w:r>
    </w:p>
    <w:p>
      <w:pPr>
        <w:pStyle w:val="ListNumber"/>
      </w:pPr>
      <w:r>
        <w:rPr>
          <w:sz w:val="22"/>
        </w:rPr>
        <w:t>Runbook 01: prerequisites, toolchain, service-account baseline.</w:t>
      </w:r>
    </w:p>
    <w:p>
      <w:pPr>
        <w:pStyle w:val="ListNumber"/>
      </w:pPr>
      <w:r>
        <w:rPr>
          <w:sz w:val="22"/>
        </w:rPr>
        <w:t>Runbook 02: estate discovery and consolidation gate.</w:t>
      </w:r>
    </w:p>
    <w:p>
      <w:pPr>
        <w:pStyle w:val="ListNumber"/>
      </w:pPr>
      <w:r>
        <w:rPr>
          <w:sz w:val="22"/>
        </w:rPr>
        <w:t>Runbook 03: authentication audit — inventories, NTLM event export, five closure conditions.</w:t>
      </w:r>
    </w:p>
    <w:p>
      <w:pPr>
        <w:pStyle w:val="ListNumber"/>
      </w:pPr>
      <w:r>
        <w:rPr>
          <w:sz w:val="22"/>
        </w:rPr>
        <w:t>Runbook 04: Arc enrollment, SQL extension, Managed Identity validation.</w:t>
      </w:r>
    </w:p>
    <w:p>
      <w:pPr>
        <w:pStyle w:val="ListNumber"/>
      </w:pPr>
      <w:r>
        <w:rPr>
          <w:sz w:val="22"/>
        </w:rPr>
        <w:t xml:space="preserve">Runbook 05: login migration parallel run and </w:t>
      </w:r>
      <w:r>
        <w:rPr>
          <w:rFonts w:ascii="Consolas" w:hAnsi="Consolas"/>
          <w:sz w:val="22"/>
        </w:rPr>
        <w:t>sa</w:t>
      </w:r>
      <w:r>
        <w:rPr>
          <w:sz w:val="22"/>
        </w:rPr>
        <w:t xml:space="preserve"> handling.</w:t>
      </w:r>
    </w:p>
    <w:p>
      <w:pPr>
        <w:pStyle w:val="ListNumber"/>
      </w:pPr>
      <w:r>
        <w:rPr>
          <w:sz w:val="22"/>
        </w:rPr>
        <w:t>Runbook 06: SPN fixes, linked-server remediation, NTLMv1 block.</w:t>
      </w:r>
    </w:p>
    <w:p>
      <w:pPr>
        <w:pStyle w:val="ListNumber"/>
      </w:pPr>
      <w:r>
        <w:rPr>
          <w:sz w:val="22"/>
        </w:rPr>
        <w:t>Runbooks 07–08: Entra groups / Conditional Access; connection strings and ODBC.</w:t>
      </w:r>
    </w:p>
    <w:p>
      <w:pPr>
        <w:pStyle w:val="ListNumber"/>
      </w:pPr>
      <w:r>
        <w:rPr>
          <w:sz w:val="22"/>
        </w:rPr>
        <w:t>Runbooks 09–10: monitoring queries and JSON compliance export; TLS certificate and ADCS/pinning inventory.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Inherits Book 04's framework (IA-2, IA-5, AU-2, AU-12, CA-7, CM-8 KSIs under FedRAMP 20x); the runbook-09 compliance record and checklist are the operational evidence stream.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 04 first, for the conceptual framework. An Arc-enrolled SQL Server 2022 test environment (2019 + Entra extension acceptable only for runbooks 03–04).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Run runbooks 02–03 end-to-end in a lab domain: SPN-based instance discovery, auth-scheme audit, NTLM event export.</w:t>
      </w:r>
    </w:p>
    <w:p>
      <w:pPr>
        <w:pStyle w:val="ListNumber"/>
      </w:pPr>
      <w:r>
        <w:rPr>
          <w:sz w:val="22"/>
        </w:rPr>
        <w:t>Arc-enroll a test server, install the SQL extension, validate the token endpoint, create the first Entra admin login.</w:t>
      </w:r>
    </w:p>
    <w:p>
      <w:pPr>
        <w:pStyle w:val="ListNumber"/>
      </w:pPr>
      <w:r>
        <w:rPr>
          <w:sz w:val="22"/>
        </w:rPr>
        <w:t>Implement the monitoring queries and daily JSON compliance export; trigger an alert by creating a rogue SQL login.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Running runbooks out of order — later ones depend on earlier state; the consolidation gate must not be skipped.</w:t>
      </w:r>
    </w:p>
    <w:p>
      <w:pPr>
        <w:pStyle w:val="ListBullet"/>
      </w:pPr>
      <w:r>
        <w:rPr>
          <w:sz w:val="22"/>
        </w:rPr>
        <w:t>Executing against production without test-environment validation.</w:t>
      </w:r>
    </w:p>
    <w:p>
      <w:pPr>
        <w:pStyle w:val="ListBullet"/>
      </w:pPr>
      <w:r>
        <w:rPr>
          <w:sz w:val="22"/>
        </w:rPr>
        <w:t xml:space="preserve">SQL services running as </w:t>
      </w:r>
      <w:r>
        <w:rPr>
          <w:rFonts w:ascii="Consolas" w:hAnsi="Consolas"/>
          <w:sz w:val="22"/>
        </w:rPr>
        <w:t>NETWORK SERVICE</w:t>
      </w:r>
      <w:r>
        <w:rPr>
          <w:sz w:val="22"/>
        </w:rPr>
        <w:t>/</w:t>
      </w:r>
      <w:r>
        <w:rPr>
          <w:rFonts w:ascii="Consolas" w:hAnsi="Consolas"/>
          <w:sz w:val="22"/>
        </w:rPr>
        <w:t>LOCAL SYSTEM</w:t>
      </w:r>
      <w:r>
        <w:rPr>
          <w:sz w:val="22"/>
        </w:rPr>
        <w:t xml:space="preserve"> — blocks SPN registration and Arc work until dedicated accounts exist.</w:t>
      </w:r>
    </w:p>
    <w:p>
      <w:pPr>
        <w:pStyle w:val="ListBullet"/>
      </w:pPr>
      <w:r>
        <w:rPr>
          <w:sz w:val="22"/>
        </w:rPr>
        <w:t>Domain-unjoining before ADCS certificate replacement and pin-clearing.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DP-300.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04 · </w:t>
      </w:r>
      <w:r>
        <w:rPr>
          <w:b/>
          <w:sz w:val="22"/>
        </w:rPr>
        <w:t>Next:</w:t>
      </w:r>
      <w:r>
        <w:rPr>
          <w:sz w:val="22"/>
        </w:rPr>
        <w:t xml:space="preserve"> Book 06 — Database Consolidation &amp; Network Physics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