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15 — Cybersecurity Training &amp; Awareness</w:t>
      </w:r>
    </w:p>
    <w:p>
      <w:r>
        <w:rPr>
          <w:i/>
          <w:color w:val="5A5A5A"/>
          <w:sz w:val="24"/>
        </w:rPr>
        <w:t>AAN module: the AT family as machine-readable evidence — the last KSI closes on a human participation record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Book_15 Cybersecurity Training Awareness &lt;https://github.com/WhalerMike/uiao/blob/main/inbox/Application%20Aware%20Networking/Book_15_Federal_Application_Aware_Networking_Cybersecurity_Training_Awareness.qmd&gt; · </w:t>
      </w:r>
      <w:r>
        <w:rPr>
          <w:b/>
          <w:sz w:val="22"/>
        </w:rPr>
        <w:t>Evidence slot:</w:t>
      </w:r>
      <w:r>
        <w:rPr>
          <w:sz w:val="22"/>
        </w:rPr>
        <w:t xml:space="preserve"> 8 — training (KSI-CED, AT-2 / AT-3 / AT-4) · </w:t>
      </w:r>
      <w:r>
        <w:rPr>
          <w:b/>
          <w:sz w:val="22"/>
        </w:rPr>
        <w:t>Track modules:</w:t>
      </w:r>
      <w:r>
        <w:rPr>
          <w:sz w:val="22"/>
        </w:rPr>
        <w:t xml:space="preserve"> A8, B7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A four-dimension cybersecurity training program (general awareness, role-based, secure delivery, IR/DR) for a GCC Moderate boundary, with machine-readable completion evidence exported to the governance substrate. Thesis: </w:t>
      </w:r>
      <w:r>
        <w:rPr>
          <w:b/>
          <w:sz w:val="22"/>
        </w:rPr>
        <w:t>training is the one KSI that cannot be closed by architecture alone</w:t>
      </w:r>
      <w:r>
        <w:rPr>
          <w:sz w:val="22"/>
        </w:rPr>
        <w:t xml:space="preserve"> — it requires a human participation record, made continuously demonstrable via LMS export, to activate KSI-CED-RAT and complete all 29 CR26 KSIs.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Describe the four training dimensions KSI-CED-RAT evaluates and map each to its NIST control and evidence type.</w:t>
      </w:r>
    </w:p>
    <w:p>
      <w:pPr>
        <w:pStyle w:val="ListBullet"/>
      </w:pPr>
      <w:r>
        <w:rPr>
          <w:sz w:val="22"/>
        </w:rPr>
        <w:t>Design an AT-2 general awareness program (8 required modules) and select a GCC Moderate delivery platform.</w:t>
      </w:r>
    </w:p>
    <w:p>
      <w:pPr>
        <w:pStyle w:val="ListBullet"/>
      </w:pPr>
      <w:r>
        <w:rPr>
          <w:sz w:val="22"/>
        </w:rPr>
        <w:t>Build an AT-3 role-based training matrix across the six role tiers with frequencies and hour targets.</w:t>
      </w:r>
    </w:p>
    <w:p>
      <w:pPr>
        <w:pStyle w:val="ListBullet"/>
      </w:pPr>
      <w:r>
        <w:rPr>
          <w:sz w:val="22"/>
        </w:rPr>
        <w:t>Configure quarterly phishing simulation (AT-2(1)) with click-rate tracking and remedial-training triggers.</w:t>
      </w:r>
    </w:p>
    <w:p>
      <w:pPr>
        <w:pStyle w:val="ListBullet"/>
      </w:pPr>
      <w:r>
        <w:rPr>
          <w:sz w:val="22"/>
        </w:rPr>
        <w:t xml:space="preserve">Produce the </w:t>
      </w:r>
      <w:r>
        <w:rPr>
          <w:rFonts w:ascii="Consolas" w:hAnsi="Consolas"/>
          <w:sz w:val="22"/>
        </w:rPr>
        <w:t>training-effectiveness-record</w:t>
      </w:r>
      <w:r>
        <w:rPr>
          <w:sz w:val="22"/>
        </w:rPr>
        <w:t xml:space="preserve"> JSON and automate its monthly Viva Learning Graph API export.</w:t>
      </w:r>
    </w:p>
    <w:p>
      <w:pPr>
        <w:pStyle w:val="ListBullet"/>
      </w:pPr>
      <w:r>
        <w:rPr>
          <w:sz w:val="22"/>
        </w:rPr>
        <w:t>Plan the CP-3 quarterly tabletop calendar and IR-2 drill cadence, including after-action reports.</w:t>
      </w:r>
    </w:p>
    <w:p>
      <w:pPr>
        <w:pStyle w:val="ListBullet"/>
      </w:pPr>
      <w:r>
        <w:rPr>
          <w:sz w:val="22"/>
        </w:rPr>
        <w:t>State the PASS thresholds that flipped KSI-022 from scaffold to active.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The KSI-CED-RAT four-dimension model ("persistently reviews" training).</w:t>
      </w:r>
    </w:p>
    <w:p>
      <w:pPr>
        <w:pStyle w:val="ListBullet"/>
      </w:pPr>
      <w:r>
        <w:rPr>
          <w:sz w:val="22"/>
        </w:rPr>
        <w:t>Six-tier AT-3 role matrix: sysadmins, privileged users, developers, IR responders, data stewards, executives.</w:t>
      </w:r>
    </w:p>
    <w:p>
      <w:pPr>
        <w:pStyle w:val="ListBullet"/>
      </w:pPr>
      <w:r>
        <w:rPr>
          <w:rFonts w:ascii="Consolas" w:hAnsi="Consolas"/>
          <w:sz w:val="22"/>
        </w:rPr>
        <w:t>governance.training-effectiveness-record</w:t>
      </w:r>
      <w:r>
        <w:rPr>
          <w:sz w:val="22"/>
        </w:rPr>
        <w:t xml:space="preserve"> JSON schema — the KSI-022 evidence contract.</w:t>
      </w:r>
    </w:p>
    <w:p>
      <w:pPr>
        <w:pStyle w:val="ListBullet"/>
      </w:pPr>
      <w:r>
        <w:rPr>
          <w:sz w:val="22"/>
        </w:rPr>
        <w:t>Viva Learning Graph API export (</w:t>
      </w:r>
      <w:r>
        <w:rPr>
          <w:rFonts w:ascii="Consolas" w:hAnsi="Consolas"/>
          <w:sz w:val="22"/>
        </w:rPr>
        <w:t>learningCourseActivities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LearningAssignmentReport.Read.All</w:t>
      </w:r>
      <w:r>
        <w:rPr>
          <w:sz w:val="22"/>
        </w:rPr>
        <w:t>).</w:t>
      </w:r>
    </w:p>
    <w:p>
      <w:pPr>
        <w:pStyle w:val="ListBullet"/>
      </w:pPr>
      <w:r>
        <w:rPr>
          <w:sz w:val="22"/>
        </w:rPr>
        <w:t>Delivery-platform trade-space: Viva Learning, DoD Cyber Awareness Challenge, CISA materials, KnowBe4/Proofpoint, SANS.</w:t>
      </w:r>
    </w:p>
    <w:p>
      <w:pPr>
        <w:pStyle w:val="ListBullet"/>
      </w:pPr>
      <w:r>
        <w:rPr>
          <w:sz w:val="22"/>
        </w:rPr>
        <w:t>IR scenario library (five minimum GCC Moderate scenarios); CP-3 Q1–Q4 tabletop calendar.</w:t>
      </w:r>
    </w:p>
    <w:p>
      <w:pPr>
        <w:pStyle w:val="ListBullet"/>
      </w:pPr>
      <w:r>
        <w:rPr>
          <w:sz w:val="22"/>
        </w:rPr>
        <w:t>≥95% completion thresholds per dimension/tier for PASS.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>Phase 1 (weeks 1–4): designate owner, select LMS, assign role tiers, configure the Graph API export, enroll all staff.</w:t>
      </w:r>
    </w:p>
    <w:p>
      <w:pPr>
        <w:pStyle w:val="ListNumber"/>
      </w:pPr>
      <w:r>
        <w:rPr>
          <w:sz w:val="22"/>
        </w:rPr>
        <w:t>Phase 2 (weeks 5–12): launch the AT-2 campaign; launch Tier 1/Tier 3 tracks; run the first phishing simulation and the SBOM/Grype developer lab; schedule the IR drill.</w:t>
      </w:r>
    </w:p>
    <w:p>
      <w:pPr>
        <w:pStyle w:val="ListNumber"/>
      </w:pPr>
      <w:r>
        <w:rPr>
          <w:sz w:val="22"/>
        </w:rPr>
        <w:t>Phase 3 (weeks 13–16): deploy the monthly export Logic App; map to the JSON schema; ingest; validate KSI-022 PASS; archive the first after-action report.</w:t>
      </w:r>
    </w:p>
    <w:p>
      <w:pPr>
        <w:pStyle w:val="ListNumber"/>
      </w:pPr>
      <w:r>
        <w:rPr>
          <w:sz w:val="22"/>
        </w:rPr>
        <w:t>Phase 4 (ongoing): monthly exports, quarterly phishing campaigns, semi-annual IR drills, annual tabletop calendar and content refresh, quarterly ISSO dashboard review.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Closes 9 controls: AT-2, AT-2(1), AT-2(2), AT-3, AT-3(3), AT-3(5), AT-4, CP-3, IR-2; SA-16 for secure delivery. FedRAMP 20x: KSI-CED-RAT (KSI-022, "Reviewing All Training") — the final scaffold KSI, taking CR26 coverage to 29/29. NIST SP 800-50, SP 800-16; EO 14028; EO 13587; OMB M-22-09.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10 (Sentinel playbooks for IR-2), Book 11 (CP-2 plan and DR runbooks for CP-3), Book 12 (Syft/Grype/VEX pipeline for developer training), Book 13 (PM-14 plan, RACI), Book 14 (PT family for AT-3(5) PII training); the Tier 1 curriculum spans Books 01–08.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Generate a CycloneDX SBOM with Syft, triage a Grype scan, and write VEX assertions — the book's own Tier 3 developer lab.</w:t>
      </w:r>
    </w:p>
    <w:p>
      <w:pPr>
        <w:pStyle w:val="ListNumber"/>
      </w:pPr>
      <w:r>
        <w:rPr>
          <w:sz w:val="22"/>
        </w:rPr>
        <w:t xml:space="preserve">Build the Graph API PowerShell export and transform the output into the </w:t>
      </w:r>
      <w:r>
        <w:rPr>
          <w:rFonts w:ascii="Consolas" w:hAnsi="Consolas"/>
          <w:sz w:val="22"/>
        </w:rPr>
        <w:t>training-effectiveness-record</w:t>
      </w:r>
      <w:r>
        <w:rPr>
          <w:sz w:val="22"/>
        </w:rPr>
        <w:t xml:space="preserve"> schema; validate the PASS logic.</w:t>
      </w:r>
    </w:p>
    <w:p>
      <w:pPr>
        <w:pStyle w:val="ListNumber"/>
      </w:pPr>
      <w:r>
        <w:rPr>
          <w:sz w:val="22"/>
        </w:rPr>
        <w:t>Run a phishing → credential theft → lateral movement tabletop from the IR scenario library, with an after-action write-up.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A one-time training event satisfies nothing — KSI-CED-RAT demands persistent, machine-readable review.</w:t>
      </w:r>
    </w:p>
    <w:p>
      <w:pPr>
        <w:pStyle w:val="ListBullet"/>
      </w:pPr>
      <w:r>
        <w:rPr>
          <w:sz w:val="22"/>
        </w:rPr>
        <w:t>Aggregate-only phishing statistics fail AT-4; results must tie to user identity.</w:t>
      </w:r>
    </w:p>
    <w:p>
      <w:pPr>
        <w:pStyle w:val="ListBullet"/>
      </w:pPr>
      <w:r>
        <w:rPr>
          <w:sz w:val="22"/>
        </w:rPr>
        <w:t>Lecture-based developer training is ineffective — the pipeline gets treated as a compliance hurdle instead of a partner.</w:t>
      </w:r>
    </w:p>
    <w:p>
      <w:pPr>
        <w:pStyle w:val="ListBullet"/>
      </w:pPr>
      <w:r>
        <w:rPr>
          <w:sz w:val="22"/>
        </w:rPr>
        <w:t>Data stewards who don't understand DLP policy intent will attempt workarounds.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SANS (awareness program design), CISA Learning, NIST NICE framework.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14 · </w:t>
      </w:r>
      <w:r>
        <w:rPr>
          <w:b/>
          <w:sz w:val="22"/>
        </w:rPr>
        <w:t>Next:</w:t>
      </w:r>
      <w:r>
        <w:rPr>
          <w:sz w:val="22"/>
        </w:rPr>
        <w:t xml:space="preserve"> Book 16 — Authorization Package &amp; ConMon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