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Lab environment — DDI (Module B1)</w:t>
      </w:r>
    </w:p>
    <w:p>
      <w:r>
        <w:rPr>
          <w:i/>
          <w:color w:val="5A5A5A"/>
          <w:sz w:val="24"/>
        </w:rPr>
        <w:t>Split-horizon DNS, atomic provisioning, and the slot-02 addressing fixture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ind w:left="432"/>
        <w:shd w:val="clear" w:fill="F7F9FC"/>
      </w:pPr>
      <w:r>
        <w:rPr>
          <w:i/>
          <w:sz w:val="20"/>
        </w:rPr>
        <w:t>Part of the AAN Training Program — companion material for the federal AAN book series, not part of UIAO. Read the lab hub safety rules first.</w:t>
      </w:r>
    </w:p>
    <w:p>
      <w:pPr>
        <w:spacing w:before="80" w:after="80"/>
      </w:pPr>
      <w:r>
        <w:rPr>
          <w:b/>
          <w:sz w:val="22"/>
        </w:rPr>
        <w:t>Supports:</w:t>
      </w:r>
      <w:r>
        <w:rPr>
          <w:sz w:val="22"/>
        </w:rPr>
        <w:t xml:space="preserve"> Book 01 labs · Module B1 · slot 2 — addressing (KSI-PIY)</w:t>
      </w:r>
    </w:p>
    <w:p>
      <w:pPr>
        <w:pStyle w:val="Heading2"/>
      </w:pPr>
      <w:r>
        <w:rPr>
          <w:color w:val="0D1B2E"/>
        </w:rPr>
        <w:t>Option A (Tier P) — vendor eval</w:t>
      </w:r>
    </w:p>
    <w:p>
      <w:pPr>
        <w:spacing w:before="80" w:after="80"/>
      </w:pPr>
      <w:r>
        <w:rPr>
          <w:sz w:val="22"/>
        </w:rPr>
        <w:t>If you have an Infoblox or BlueCat evaluation, use it: create three DNS views (internal / cloud-internal / external), enable DNSSEC on one zone, and run the vendor's IPAM export — then skip to Bind the evidence. The vendor catalog lists both vendors' training portals, which include lab guides for their own products.</w:t>
      </w:r>
    </w:p>
    <w:p>
      <w:pPr>
        <w:pStyle w:val="Heading2"/>
      </w:pPr>
      <w:r>
        <w:rPr>
          <w:color w:val="0D1B2E"/>
        </w:rPr>
        <w:t>Option B (Tier F) — containerized split-horizon lab</w:t>
      </w:r>
    </w:p>
    <w:p>
      <w:pPr>
        <w:spacing w:before="80" w:after="80"/>
      </w:pPr>
      <w:r>
        <w:rPr>
          <w:sz w:val="22"/>
        </w:rPr>
        <w:t>No license needed: two BIND views + Kea DHCP in containers approximate the Book 01 split-horizon exercise.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mkdir -p ddi-lab/{internal,external} &amp;&amp; cd ddi-lab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internal view zone: returns a private address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cat &gt; internal/db.app.example.test &lt;&lt;'EOF'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$TTL 300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@ IN SOA ns1.example.test. admin.example.test. (1 3600 900 604800 300)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@ IN NS  ns1.example.test.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app IN A 10.20.0.15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EOF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external view zone: same name does NOT exist (NXDOMAIN goal),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only public names are present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cat &gt; external/db.example.test &lt;&lt;'EOF'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$TTL 300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@ IN SOA ns1.example.test. admin.example.test. (1 3600 900 604800 300)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@ IN NS  ns1.example.test.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www IN A 203.0.113.10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EOF</w:t>
      </w:r>
    </w:p>
    <w:p>
      <w:pPr>
        <w:spacing w:before="80" w:after="80"/>
      </w:pPr>
      <w:r>
        <w:rPr>
          <w:rFonts w:ascii="Consolas" w:hAnsi="Consolas"/>
          <w:sz w:val="22"/>
        </w:rPr>
        <w:t>named.conf</w:t>
      </w:r>
      <w:r>
        <w:rPr>
          <w:sz w:val="22"/>
        </w:rPr>
        <w:t xml:space="preserve"> with two views keyed by client subnet (the lab's stand-in for Book 01's internal vs. external resolvers):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view "internal" {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match-clients { 10.0.0.0/8; 172.16.0.0/12; };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zone "app.example.test" { type primary; file "/etc/bind/internal/db.app.example.test"; };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};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view "external" {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match-clients { any; };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zone "example.test" { type primary; file "/etc/bind/external/db.example.test"; };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};</w:t>
      </w:r>
    </w:p>
    <w:p>
      <w:pPr>
        <w:spacing w:before="80" w:after="80"/>
      </w:pPr>
      <w:r>
        <w:rPr>
          <w:sz w:val="22"/>
        </w:rPr>
        <w:t>Run it and verify the split: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docker run -d --name ddi-bind -v "$PWD:/etc/bind" -p 5353:53/udp internetsystemsconsortium/bind9:9.18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internal client (simulate with source routing or exec into the container):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docker exec ddi-bind dig @127.0.0.1 app.app.example.test A +short   # → 10.20.0.15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external client: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dig @127.0.0.1 -p 5353 app.app.example.test A                      # → NXDOMAIN  ✅ Book 01's requirement</w:t>
      </w:r>
    </w:p>
    <w:p>
      <w:pPr>
        <w:pStyle w:val="Heading2"/>
      </w:pPr>
      <w:r>
        <w:rPr>
          <w:color w:val="0D1B2E"/>
        </w:rPr>
        <w:t>Exercise — the M365 endpoint poll pipeline</w:t>
      </w:r>
    </w:p>
    <w:p>
      <w:pPr>
        <w:spacing w:before="80" w:after="80"/>
      </w:pPr>
      <w:r>
        <w:rPr>
          <w:sz w:val="22"/>
        </w:rPr>
        <w:t>Book 01's automation lab, runnable anywhere with Python: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m365_endpoints_diff.py — poll the Microsoft 365 IP &amp; URL web service,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diff versions, and emit the allow/block artifacts Book 01 automates.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import json, urllib.request, uuid, pathlib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CLIENT = uuid.uuid4()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SERVICE = "endpoints.office.com"  # M365 IP &amp; URL web service host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url = "https://" + SERVICE + "/endpoints/worldwide?clientrequestid=" + str(CLIENT)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data = json.load(urllib.request.urlopen(url))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prev = pathlib.Path("m365-endpoints.json")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old = json.loads(prev.read_text()) if prev.exists() else []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old_urls = {u for e in old for u in e.get("urls", [])}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new_urls = {u for e in data for u in e.get("urls", [])}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print("ADD  →", sorted(new_urls - old_urls)[:10])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print("DROP →", sorted(old_urls - new_urls)[:10])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prev.write_text(json.dumps(data, indent=1))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In production these diffs drive RPZ allow/block, NSG, and split-tunnel updates.</w:t>
      </w:r>
    </w:p>
    <w:p>
      <w:pPr>
        <w:pStyle w:val="Heading2"/>
      </w:pPr>
      <w:r>
        <w:rPr>
          <w:color w:val="0D1B2E"/>
        </w:rPr>
        <w:t>Bind the evidence</w:t>
      </w:r>
    </w:p>
    <w:p>
      <w:pPr>
        <w:spacing w:before="80" w:after="80"/>
      </w:pPr>
      <w:r>
        <w:rPr>
          <w:sz w:val="22"/>
        </w:rPr>
        <w:t>Produce the CM-8-shaped inventory artifact (from the vendor export in Option A, or hand-built from the lab's address plan in Option B):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{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"generated_at": "&lt;timestamp&gt;",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"source": "ddi-lab",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"networks": [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{"cidr": "10.20.0.0/24", "view": "internal", "purpose": "app tier"},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{"cidr": "203.0.113.0/24", "view": "external", "purpose": "public"}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],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"records": [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{"fqdn": "app.app.example.test", "ip": "10.20.0.15", "view": "internal"}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]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before="80" w:after="80"/>
      </w:pPr>
      <w:r>
        <w:rPr>
          <w:sz w:val="22"/>
        </w:rPr>
        <w:t>Reference it from a copy of the slot-02 mapping (</w:t>
      </w:r>
      <w:r>
        <w:rPr>
          <w:rFonts w:ascii="Consolas" w:hAnsi="Consolas"/>
          <w:sz w:val="22"/>
        </w:rPr>
        <w:t>slot-02-addressing-evidence.yaml</w:t>
      </w:r>
      <w:r>
        <w:rPr>
          <w:sz w:val="22"/>
        </w:rPr>
        <w:t xml:space="preserve"> &lt;https://github.com/WhalerMike/uiao/blob/main/src/uiao/adapters/fedramp_aan_catalog/mappings/slot-02-addressing-evidence.yaml&gt;) and regenerate: </w:t>
      </w:r>
      <w:r>
        <w:rPr>
          <w:rFonts w:ascii="Consolas" w:hAnsi="Consolas"/>
          <w:sz w:val="22"/>
        </w:rPr>
        <w:t>uiao oscal ksi-ar --output exports/oscal/ksi-ar.json</w:t>
      </w:r>
      <w:r>
        <w:rPr>
          <w:sz w:val="22"/>
        </w:rPr>
        <w:t>. Score yourself against the slot 2 rubric.</w:t>
      </w:r>
    </w:p>
    <w:p>
      <w:pPr>
        <w:pStyle w:val="Heading2"/>
      </w:pPr>
      <w:r>
        <w:rPr>
          <w:color w:val="0D1B2E"/>
        </w:rPr>
        <w:t>Teardown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docker rm -f ddi-bind &amp;&amp; rm -rf ddi-lab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