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AAN Training Program</w:t>
      </w:r>
    </w:p>
    <w:p>
      <w:r>
        <w:rPr>
          <w:i/>
          <w:color w:val="5A5A5A"/>
          <w:sz w:val="24"/>
        </w:rPr>
        <w:t>Two-track curriculum over the 17-book Federal Application-Aware Networking series — compliance and implementation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hd w:val="clear" w:fill="EAF1FB"/>
      </w:pPr>
      <w:r>
        <w:rPr>
          <w:b/>
          <w:color w:val="0D1B2E"/>
          <w:sz w:val="20"/>
        </w:rPr>
        <w:t>[IMPORTANT]</w:t>
      </w:r>
    </w:p>
    <w:p>
      <w:pPr>
        <w:pStyle w:val="Heading2"/>
      </w:pPr>
      <w:r>
        <w:rPr>
          <w:color w:val="0D1B2E"/>
        </w:rPr>
        <w:t>Not part of UIAO</w:t>
      </w:r>
    </w:p>
    <w:p>
      <w:pPr>
        <w:spacing w:before="80" w:after="80"/>
      </w:pPr>
      <w:r>
        <w:rPr>
          <w:sz w:val="22"/>
        </w:rPr>
        <w:t xml:space="preserve">The AAN book series and this training program are </w:t>
      </w:r>
      <w:r>
        <w:rPr>
          <w:b/>
          <w:sz w:val="22"/>
        </w:rPr>
        <w:t>companion material for the federal vertical — they are not part of UIAO</w:t>
      </w:r>
      <w:r>
        <w:rPr>
          <w:sz w:val="22"/>
        </w:rPr>
        <w:t xml:space="preserve">. The UIAO core is vertical-agnostic (ADR-085 &lt;https://github.com/WhalerMike/uiao/blob/main/src/uiao/canon/adr/adr-085-universal-enterprise-positioning.md&gt;); the AAN corpus is external federal-modernization content that UIAO's conformance tooling happens to consume as evidence. Nothing on these pages is UIAO canon, defines UIAO doctrine, or is scoped for a </w:t>
      </w:r>
      <w:r>
        <w:rPr>
          <w:rFonts w:ascii="Consolas" w:hAnsi="Consolas"/>
          <w:sz w:val="22"/>
        </w:rPr>
        <w:t>UIAO_NNN</w:t>
      </w:r>
      <w:r>
        <w:rPr>
          <w:sz w:val="22"/>
        </w:rPr>
        <w:t xml:space="preserve"> allocation. These pages are hosted here for convenience alongside the adapter that binds the books' evidence.</w:t>
      </w:r>
    </w:p>
    <w:p>
      <w:pPr>
        <w:shd w:val="clear" w:fill="EAF1FB"/>
      </w:pPr>
      <w:r>
        <w:rPr>
          <w:b/>
          <w:color w:val="1E8C8C"/>
          <w:sz w:val="20"/>
        </w:rPr>
        <w:t>[NOTE]</w:t>
      </w:r>
    </w:p>
    <w:p>
      <w:pPr>
        <w:pStyle w:val="Heading2"/>
      </w:pPr>
      <w:r>
        <w:rPr>
          <w:color w:val="0D1B2E"/>
        </w:rPr>
        <w:t>Living program — expansion expected</w:t>
      </w:r>
    </w:p>
    <w:p>
      <w:pPr>
        <w:spacing w:before="80" w:after="80"/>
      </w:pPr>
      <w:r>
        <w:rPr>
          <w:sz w:val="22"/>
        </w:rPr>
        <w:t xml:space="preserve">This program is a </w:t>
      </w:r>
      <w:r>
        <w:rPr>
          <w:b/>
          <w:sz w:val="22"/>
        </w:rPr>
        <w:t>research-driven living curriculum</w:t>
      </w:r>
      <w:r>
        <w:rPr>
          <w:sz w:val="22"/>
        </w:rPr>
        <w:t>. It launches with the program charter, the two track outlines, and a first-pass vendor training catalog. As research continues, modules gain per-book lesson pages, labs, assessment rubrics, and additional vendor offerings. See Expansion roadmap.</w:t>
      </w:r>
    </w:p>
    <w:p>
      <w:pPr>
        <w:pStyle w:val="Heading2"/>
      </w:pPr>
      <w:r>
        <w:rPr>
          <w:color w:val="0D1B2E"/>
        </w:rPr>
        <w:t>What this program is</w:t>
      </w:r>
    </w:p>
    <w:p>
      <w:pPr>
        <w:spacing w:before="80" w:after="80"/>
      </w:pPr>
      <w:r>
        <w:rPr>
          <w:sz w:val="22"/>
        </w:rPr>
        <w:t xml:space="preserve">The Federal Application-Aware Networking (AAN) series is a </w:t>
      </w:r>
      <w:r>
        <w:rPr>
          <w:b/>
          <w:sz w:val="22"/>
        </w:rPr>
        <w:t>17-book corpus</w:t>
      </w:r>
      <w:r>
        <w:rPr>
          <w:sz w:val="22"/>
        </w:rPr>
        <w:t xml:space="preserve"> (Book 00 through Book 16) that documents a complete federal network modernization: landing zone and IPAM, network and telecommunications modernization, data-platform authentication, privileged access, vulnerability management, data protection, detection engineering, business continuity, supply-chain risk, program governance, PII transparency, cybersecurity training, and the authorization package / ConMon wrapper. The books live in draft staging at </w:t>
      </w:r>
      <w:r>
        <w:rPr>
          <w:rFonts w:ascii="Consolas" w:hAnsi="Consolas"/>
          <w:sz w:val="22"/>
        </w:rPr>
        <w:t>inbox/Application Aware Networking/</w:t>
      </w:r>
      <w:r>
        <w:rPr>
          <w:sz w:val="22"/>
        </w:rPr>
        <w:t xml:space="preserve"> &lt;https://github.com/WhalerMike/uiao/tree/main/inbox/Application%20Aware%20Networking&gt; and are bound to FedRAMP 20x evidence slots by the </w:t>
      </w:r>
      <w:r>
        <w:rPr>
          <w:rFonts w:ascii="Consolas" w:hAnsi="Consolas"/>
          <w:sz w:val="22"/>
        </w:rPr>
        <w:t>fedramp_aan_catalog</w:t>
      </w:r>
      <w:r>
        <w:rPr>
          <w:sz w:val="22"/>
        </w:rPr>
        <w:t xml:space="preserve"> adapter &lt;https://github.com/WhalerMike/uiao/tree/main/src/uiao/adapters/fedramp_aan_catalog&gt;.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-fig-01-program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 — The program at a glance: 17 books produce artifacts, eight slot mappings bind them as evidence, and two tracks teach the corpus.</w:t>
      </w:r>
    </w:p>
    <w:p>
      <w:pPr>
        <w:spacing w:before="80" w:after="80"/>
      </w:pPr>
      <w:r>
        <w:rPr>
          <w:sz w:val="22"/>
        </w:rPr>
        <w:t xml:space="preserve">The AAN Training Program teaches that corpus in </w:t>
      </w:r>
      <w:r>
        <w:rPr>
          <w:b/>
          <w:sz w:val="22"/>
        </w:rPr>
        <w:t>two tracks</w:t>
      </w:r>
      <w:r>
        <w:rPr>
          <w:sz w:val="22"/>
        </w:rPr>
        <w:t>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Track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Page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Track A — Compliance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Compliance track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ISSOs / ISSMs, assessors, ConMon operators, compliance leads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Can state, for each of the 17 books, which NIST SP 800-53 Rev 5 controls it closes, which FedRAMP 20x KSI category evaluates that closure, and how the evidence flows through the UIAO conformance pipeline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Track B — Implementation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Implementation track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Network, platform, database, identity, and security engineers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Can implement the architecture each book describes and produce the machine-readable evidence Track A consumes</w:t>
            </w:r>
          </w:p>
        </w:tc>
      </w:tr>
    </w:tbl>
    <w:p/>
    <w:p>
      <w:pPr>
        <w:spacing w:before="80" w:after="80"/>
      </w:pPr>
      <w:r>
        <w:rPr>
          <w:sz w:val="22"/>
        </w:rPr>
        <w:t>A third page, the Vendor training catalog, maps each book to existing external training from the vendors whose products the books deploy (Microsoft, Infoblox, Cisco, AWS, and others), plus federal/compliance training sources (CISA, FedRAMP, NIST).</w:t>
      </w:r>
    </w:p>
    <w:p>
      <w:pPr>
        <w:pStyle w:val="Heading2"/>
      </w:pPr>
      <w:r>
        <w:rPr>
          <w:color w:val="0D1B2E"/>
        </w:rPr>
        <w:t>Relationship to UIAO</w:t>
      </w:r>
    </w:p>
    <w:p>
      <w:pPr>
        <w:pStyle w:val="ListBullet"/>
      </w:pPr>
      <w:r>
        <w:rPr>
          <w:sz w:val="22"/>
        </w:rPr>
        <w:t xml:space="preserve">This program is </w:t>
      </w:r>
      <w:r>
        <w:rPr>
          <w:b/>
          <w:sz w:val="22"/>
        </w:rPr>
        <w:t>separate from</w:t>
      </w:r>
      <w:r>
        <w:rPr>
          <w:sz w:val="22"/>
        </w:rPr>
        <w:t xml:space="preserve"> UIAO_125 Training Program &lt;https://github.com/WhalerMike/uiao/blob/main/src/uiao/canon/specs/program-training.md&gt; (Contributor + Operator tracks). UIAO_125 teaches the UIAO substrate; this program teaches the </w:t>
      </w:r>
      <w:r>
        <w:rPr>
          <w:b/>
          <w:sz w:val="22"/>
        </w:rPr>
        <w:t>federal AAN book series</w:t>
      </w:r>
      <w:r>
        <w:rPr>
          <w:sz w:val="22"/>
        </w:rPr>
        <w:t xml:space="preserve">, which is not UIAO material. The only connection is mechanical: the </w:t>
      </w:r>
      <w:r>
        <w:rPr>
          <w:rFonts w:ascii="Consolas" w:hAnsi="Consolas"/>
          <w:sz w:val="22"/>
        </w:rPr>
        <w:t>fedramp_aan_catalog</w:t>
      </w:r>
      <w:r>
        <w:rPr>
          <w:sz w:val="22"/>
        </w:rPr>
        <w:t xml:space="preserve"> conformance adapter reads the books' artifacts as evidence, the same way UIAO adapters read any external vendor's output.</w:t>
      </w:r>
    </w:p>
    <w:p>
      <w:pPr>
        <w:pStyle w:val="ListBullet"/>
      </w:pPr>
      <w:r>
        <w:rPr>
          <w:sz w:val="22"/>
        </w:rPr>
        <w:t>Per ADR-085 &lt;https://github.com/WhalerMike/uiao/blob/main/src/uiao/canon/adr/adr-085-universal-enterprise-positioning.md&gt;, the UIAO core is vertical-agnostic. Describing this curriculum as part of UIAO would itself be a positioning bug under that ADR.</w:t>
      </w:r>
    </w:p>
    <w:p>
      <w:pPr>
        <w:pStyle w:val="ListBullet"/>
      </w:pPr>
      <w:r>
        <w:rPr>
          <w:sz w:val="22"/>
        </w:rPr>
        <w:t xml:space="preserve">The compliance backbone follows the Federal AAN / ConMon Compliance Gap Roadmap &lt;https://github.com/WhalerMike/uiao/blob/main/inbox/Application%20Aware%20Networking/federal-aan-conmon-gap-roadmap.md&gt; and the slot bindings in </w:t>
      </w:r>
      <w:r>
        <w:rPr>
          <w:rFonts w:ascii="Consolas" w:hAnsi="Consolas"/>
          <w:sz w:val="22"/>
        </w:rPr>
        <w:t>fedramp_aan_catalog/mappings/</w:t>
      </w:r>
      <w:r>
        <w:rPr>
          <w:sz w:val="22"/>
        </w:rPr>
        <w:t xml:space="preserve"> &lt;https://github.com/WhalerMike/uiao/tree/main/src/uiao/adapters/fedramp_aan_catalog/mappings&gt;.</w:t>
      </w:r>
    </w:p>
    <w:p>
      <w:pPr>
        <w:shd w:val="clear" w:fill="EAF1FB"/>
      </w:pPr>
      <w:r>
        <w:rPr>
          <w:b/>
          <w:color w:val="0D1B2E"/>
          <w:sz w:val="20"/>
        </w:rPr>
        <w:t>[WARNING]</w:t>
      </w:r>
    </w:p>
    <w:p>
      <w:pPr>
        <w:pStyle w:val="Heading2"/>
      </w:pPr>
      <w:r>
        <w:rPr>
          <w:color w:val="0D1B2E"/>
        </w:rPr>
        <w:t>Provenance status</w:t>
      </w:r>
    </w:p>
    <w:p>
      <w:pPr>
        <w:spacing w:before="80" w:after="80"/>
      </w:pPr>
      <w:r>
        <w:rPr>
          <w:sz w:val="22"/>
        </w:rPr>
        <w:t xml:space="preserve">The AAN books currently live under </w:t>
      </w:r>
      <w:r>
        <w:rPr>
          <w:rFonts w:ascii="Consolas" w:hAnsi="Consolas"/>
          <w:sz w:val="22"/>
        </w:rPr>
        <w:t>inbox/</w:t>
      </w:r>
      <w:r>
        <w:rPr>
          <w:sz w:val="22"/>
        </w:rPr>
        <w:t xml:space="preserve"> — the repo's </w:t>
      </w:r>
      <w:r>
        <w:rPr>
          <w:b/>
          <w:sz w:val="22"/>
        </w:rPr>
        <w:t>draft staging</w:t>
      </w:r>
      <w:r>
        <w:rPr>
          <w:sz w:val="22"/>
        </w:rPr>
        <w:t xml:space="preserve"> surface. They are external companion material, not UIAO canon, and are not on a canonization path. If the books move to their own home, the links below follow them. Treat control-closure counts as working figures from the gap roadmap, not attested facts.</w:t>
      </w:r>
    </w:p>
    <w:p>
      <w:pPr>
        <w:pStyle w:val="Heading2"/>
      </w:pPr>
      <w:r>
        <w:rPr>
          <w:color w:val="0D1B2E"/>
        </w:rPr>
        <w:t>The 17-book corpus</w:t>
      </w:r>
    </w:p>
    <w:p>
      <w:pPr>
        <w:spacing w:before="80" w:after="80"/>
      </w:pPr>
      <w:r>
        <w:rPr>
          <w:sz w:val="22"/>
        </w:rPr>
        <w:t xml:space="preserve">Each book now has a </w:t>
      </w:r>
      <w:r>
        <w:rPr>
          <w:b/>
          <w:sz w:val="22"/>
        </w:rPr>
        <w:t>module page</w:t>
      </w:r>
      <w:r>
        <w:rPr>
          <w:sz w:val="22"/>
        </w:rPr>
        <w:t xml:space="preserve"> — objectives, key concepts, implementation sequence, compliance hooks, labs, pitfalls, and vendor training pointers, all derived from the book's actual content. The module page links to the canonical manuscript source.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Book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Module page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Domain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Evidence slot(s)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KSI category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Executive Summary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Orientation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SSA Landing Zone, IPAM &amp; FedRAMP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DDI / IPAM landing zone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 — addressing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KSI-PIY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Network Modernization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SD-WAN, SASE, UC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 — network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KSI-CNA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Federal Telecommunications Modernization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Entra ID, ZTNA, cloud voice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— identity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KSI-IAM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SQL Server Authentication Modernization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Data-platform identity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— identity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KSI-IAM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SQL Server Implementation Guide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Data-platform runbook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(procedural evidence for Book 04)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Database Consolidation &amp; Network Physics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Database architecture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 — network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KSI-CNA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Privileged Access Management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Entra PIM + PAW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— identity; 5 — endpoint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KSI-IAM, KSI-PIY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Vulnerability Management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Defender VM + KEV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— telemetry; 5 — endpoint; 6 — security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KSI-MLA, KSI-PIY, KSI-CMT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Data Protection (Purview)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Purview + Key Vault CMK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— telemetry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KSI-MLA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SIEM / XDR Detection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Sentinel detection engineering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— telemetry; 6 — security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KSI-MLA, KSI-CMT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Business Continuity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Contingency planning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 — continuity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KSI-RPL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Supply Chain Risk Management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SBOM, VDR/VER, BOD 26-04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6 — security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KSI-CMT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Program Management &amp; Governance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PM charter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6 — security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KSI-CMT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PII Processing &amp; Transparency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PT control family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 — endpoint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KSI-PIY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Cybersecurity Training &amp; Awareness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AT control family, LMS evidence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 — training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KSI-CED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Authorization Package &amp; ConMon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OSCAL AP/AR/POA&amp;M, CA family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(assembles all eight slots)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spacing w:before="80" w:after="80"/>
      </w:pPr>
      <w:r>
        <w:rPr>
          <w:sz w:val="22"/>
        </w:rPr>
        <w:t>Slot definitions, KSI categories, and NIST anchors come from the adapter's mapping files &lt;https://github.com/WhalerMike/uiao/tree/main/src/uiao/adapters/fedramp_aan_catalog/mappings&gt; — the same data the conformance pipeline evaluates, so the curriculum cannot silently drift from the evidence model.</w:t>
      </w:r>
    </w:p>
    <w:p>
      <w:pPr>
        <w:pStyle w:val="Heading2"/>
      </w:pPr>
      <w:r>
        <w:rPr>
          <w:color w:val="0D1B2E"/>
        </w:rPr>
        <w:t>Program structure</w:t>
      </w:r>
    </w:p>
    <w:p>
      <w:pPr>
        <w:pStyle w:val="ListNumber"/>
      </w:pPr>
      <w:r>
        <w:rPr>
          <w:b/>
          <w:sz w:val="22"/>
        </w:rPr>
        <w:t>Orientation (both tracks)</w:t>
      </w:r>
      <w:r>
        <w:rPr>
          <w:sz w:val="22"/>
        </w:rPr>
        <w:t xml:space="preserve"> — read Book 00 and the gap roadmap &lt;https://github.com/WhalerMike/uiao/blob/main/inbox/Application%20Aware%20Networking/federal-aan-conmon-gap-roadmap.md&gt;; understand the FedRAMP 20x timeline (Class A opened August 2026; 20x mandatory January 2027; BOD 26-04 VDR/VER due December 7, 2026).</w:t>
      </w:r>
    </w:p>
    <w:p>
      <w:pPr>
        <w:pStyle w:val="ListNumber"/>
      </w:pPr>
      <w:r>
        <w:rPr>
          <w:b/>
          <w:sz w:val="22"/>
        </w:rPr>
        <w:t>Pick a track</w:t>
      </w:r>
      <w:r>
        <w:rPr>
          <w:sz w:val="22"/>
        </w:rPr>
        <w:t xml:space="preserve"> — Track A Compliance or Track B Implementation. The tracks share the corpus but read it differently: Track A reads books as </w:t>
      </w:r>
      <w:r>
        <w:rPr>
          <w:i/>
          <w:sz w:val="22"/>
        </w:rPr>
        <w:t>control-closure evidence</w:t>
      </w:r>
      <w:r>
        <w:rPr>
          <w:sz w:val="22"/>
        </w:rPr>
        <w:t xml:space="preserve">; Track B reads them as </w:t>
      </w:r>
      <w:r>
        <w:rPr>
          <w:i/>
          <w:sz w:val="22"/>
        </w:rPr>
        <w:t>build instructions</w:t>
      </w:r>
      <w:r>
        <w:rPr>
          <w:sz w:val="22"/>
        </w:rPr>
        <w:t>.</w:t>
      </w:r>
    </w:p>
    <w:p>
      <w:pPr>
        <w:pStyle w:val="ListNumber"/>
      </w:pPr>
      <w:r>
        <w:rPr>
          <w:b/>
          <w:sz w:val="22"/>
        </w:rPr>
        <w:t>Supplement with vendor training</w:t>
      </w:r>
      <w:r>
        <w:rPr>
          <w:sz w:val="22"/>
        </w:rPr>
        <w:t xml:space="preserve"> — each module points into the vendor training catalog for the underlying product skills (Entra, Sentinel, Purview, Infoblox DDI, SD-WAN, …).</w:t>
      </w:r>
    </w:p>
    <w:p>
      <w:pPr>
        <w:pStyle w:val="ListNumber"/>
      </w:pPr>
      <w:r>
        <w:rPr>
          <w:b/>
          <w:sz w:val="22"/>
        </w:rPr>
        <w:t>Capstone (both tracks)</w:t>
      </w:r>
      <w:r>
        <w:rPr>
          <w:sz w:val="22"/>
        </w:rPr>
        <w:t xml:space="preserve"> — produce or evaluate a KSI evidence bundle with the </w:t>
      </w:r>
      <w:r>
        <w:rPr>
          <w:rFonts w:ascii="Consolas" w:hAnsi="Consolas"/>
          <w:sz w:val="22"/>
        </w:rPr>
        <w:t>uiao</w:t>
      </w:r>
      <w:r>
        <w:rPr>
          <w:sz w:val="22"/>
        </w:rPr>
        <w:t xml:space="preserve"> CLI (</w:t>
      </w:r>
      <w:r>
        <w:rPr>
          <w:rFonts w:ascii="Consolas" w:hAnsi="Consolas"/>
          <w:sz w:val="22"/>
        </w:rPr>
        <w:t>uiao ksi evaluate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uiao oscal ksi-ar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uiao oscal generate</w:t>
      </w:r>
      <w:r>
        <w:rPr>
          <w:sz w:val="22"/>
        </w:rPr>
        <w:t>) against the eight AAN evidence slots.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-fig-06-evidence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2 — The evidence flow both capstones exercise: a book artifact is bound by a slot mapping, evaluated against KSI rules, and lands as per-KSI verdicts in the OSCAL Assessment Results.</w:t>
      </w:r>
    </w:p>
    <w:p>
      <w:pPr>
        <w:pStyle w:val="Heading2"/>
      </w:pPr>
      <w:r>
        <w:rPr>
          <w:color w:val="0D1B2E"/>
        </w:rPr>
        <w:t>Completion criteria</w:t>
      </w:r>
    </w:p>
    <w:p>
      <w:pPr>
        <w:spacing w:before="80" w:after="80"/>
      </w:pPr>
      <w:r>
        <w:rPr>
          <w:sz w:val="22"/>
        </w:rPr>
        <w:t>Borrowing the pattern of UIAO_125 §4 (no parallel certification system), without being part of that program:</w:t>
      </w:r>
    </w:p>
    <w:p>
      <w:pPr>
        <w:pStyle w:val="ListBullet"/>
      </w:pPr>
      <w:r>
        <w:rPr>
          <w:b/>
          <w:sz w:val="22"/>
        </w:rPr>
        <w:t>Track A</w:t>
      </w:r>
      <w:r>
        <w:rPr>
          <w:sz w:val="22"/>
        </w:rPr>
        <w:t xml:space="preserve"> — a clean walk of all eight slot mappings: for each slot, name the books that feed it, the KSI category that evaluates it, and produce a </w:t>
      </w:r>
      <w:r>
        <w:rPr>
          <w:rFonts w:ascii="Consolas" w:hAnsi="Consolas"/>
          <w:sz w:val="22"/>
        </w:rPr>
        <w:t>uiao oscal ksi-ar</w:t>
      </w:r>
      <w:r>
        <w:rPr>
          <w:sz w:val="22"/>
        </w:rPr>
        <w:t xml:space="preserve"> run showing each KSI verdict (satisfied / not-satisfied / not-evaluated), with a short written gap statement for anything not yet evaluable.</w:t>
      </w:r>
    </w:p>
    <w:p>
      <w:pPr>
        <w:pStyle w:val="ListBullet"/>
      </w:pPr>
      <w:r>
        <w:rPr>
          <w:b/>
          <w:sz w:val="22"/>
        </w:rPr>
        <w:t>Track B</w:t>
      </w:r>
      <w:r>
        <w:rPr>
          <w:sz w:val="22"/>
        </w:rPr>
        <w:t xml:space="preserve"> — implement (or lab-simulate) one module end-to-end and land its evidence artifact where the slot mappings can bind it, verified by regenerating the KSI Assessment Results (</w:t>
      </w:r>
      <w:r>
        <w:rPr>
          <w:rFonts w:ascii="Consolas" w:hAnsi="Consolas"/>
          <w:sz w:val="22"/>
        </w:rPr>
        <w:t>uiao oscal ksi-ar</w:t>
      </w:r>
      <w:r>
        <w:rPr>
          <w:sz w:val="22"/>
        </w:rPr>
        <w:t>) and seeing the slot's verdict reflect the new evidence.</w:t>
      </w:r>
    </w:p>
    <w:p>
      <w:pPr>
        <w:pStyle w:val="Heading2"/>
      </w:pPr>
      <w:r>
        <w:rPr>
          <w:color w:val="0D1B2E"/>
        </w:rPr>
        <w:t>Expansion roadmap</w:t>
      </w:r>
    </w:p>
    <w:p>
      <w:pPr>
        <w:spacing w:before="80" w:after="80"/>
      </w:pPr>
      <w:r>
        <w:rPr>
          <w:sz w:val="22"/>
        </w:rPr>
        <w:t>Planned growth as research continues (tracked in ordinary PRs against this directory):</w:t>
      </w:r>
    </w:p>
    <w:p>
      <w:pPr>
        <w:pStyle w:val="ListBullet"/>
      </w:pPr>
      <w:r>
        <w:rPr>
          <w:sz w:val="22"/>
        </w:rPr>
        <w:t xml:space="preserve">✅ </w:t>
      </w:r>
      <w:r>
        <w:rPr>
          <w:b/>
          <w:sz w:val="22"/>
        </w:rPr>
        <w:t>Per-book module pages</w:t>
      </w:r>
      <w:r>
        <w:rPr>
          <w:sz w:val="22"/>
        </w:rPr>
        <w:t xml:space="preserve"> — shipped: all 15 books have module pages (see the table above) with objectives, key concepts, implementation sequence, labs, and pitfalls derived from the manuscripts. Next iteration: reading checkpoints and quiz items.</w:t>
      </w:r>
    </w:p>
    <w:p>
      <w:pPr>
        <w:pStyle w:val="ListBullet"/>
      </w:pPr>
      <w:r>
        <w:rPr>
          <w:sz w:val="22"/>
        </w:rPr>
        <w:t xml:space="preserve">✅ </w:t>
      </w:r>
      <w:r>
        <w:rPr>
          <w:b/>
          <w:sz w:val="22"/>
        </w:rPr>
        <w:t>Vendor catalog verification</w:t>
      </w:r>
      <w:r>
        <w:rPr>
          <w:sz w:val="22"/>
        </w:rPr>
        <w:t xml:space="preserve"> — first research pass complete: the original research-queue vendors (Zscaler, Netskope, ServiceNow, Linux Foundation/OpenSSF, ISACA, IAPP, Tenable, Qualys) are now catalog rows with verified training-portal URLs.</w:t>
      </w:r>
    </w:p>
    <w:p>
      <w:pPr>
        <w:pStyle w:val="ListBullet"/>
      </w:pPr>
      <w:r>
        <w:rPr>
          <w:sz w:val="22"/>
        </w:rPr>
        <w:t xml:space="preserve">✅ </w:t>
      </w:r>
      <w:r>
        <w:rPr>
          <w:b/>
          <w:sz w:val="22"/>
        </w:rPr>
        <w:t>Lab environments</w:t>
      </w:r>
      <w:r>
        <w:rPr>
          <w:sz w:val="22"/>
        </w:rPr>
        <w:t xml:space="preserve"> — shipped: the lab hub with scripted setups for DDI (B1), PIM (B4), Sentinel (B5), and Purview (B5), tiered fixture / trial-tenant / product-eval. Next iteration: B2 SD-WAN eval-gear labs.</w:t>
      </w:r>
    </w:p>
    <w:p>
      <w:pPr>
        <w:pStyle w:val="ListBullet"/>
      </w:pPr>
      <w:r>
        <w:rPr>
          <w:sz w:val="22"/>
        </w:rPr>
        <w:t xml:space="preserve">✅ </w:t>
      </w:r>
      <w:r>
        <w:rPr>
          <w:b/>
          <w:sz w:val="22"/>
        </w:rPr>
        <w:t>Assessment rubrics</w:t>
      </w:r>
      <w:r>
        <w:rPr>
          <w:sz w:val="22"/>
        </w:rPr>
        <w:t xml:space="preserve"> — shipped: per-slot scoring sheets for the Track A capstone with a four-level scale and explicit pass bar.</w:t>
      </w:r>
    </w:p>
    <w:p>
      <w:pPr>
        <w:pStyle w:val="ListBullet"/>
      </w:pPr>
      <w:r>
        <w:rPr>
          <w:sz w:val="22"/>
        </w:rPr>
        <w:t xml:space="preserve">✅ </w:t>
      </w:r>
      <w:r>
        <w:rPr>
          <w:b/>
          <w:sz w:val="22"/>
        </w:rPr>
        <w:t>Corpus sync (July 2026)</w:t>
      </w:r>
      <w:r>
        <w:rPr>
          <w:sz w:val="22"/>
        </w:rPr>
        <w:t xml:space="preserve"> — Books 15 (Training &amp; Awareness) and 16 (Authorization Package &amp; ConMon) joined the corpus; slot 8 — training (KSI-CED) joined the evidence model, taking CR26 coverage to all 29 KSIs evaluable. Module pages, tracks, rubrics, and figures updated.</w:t>
      </w:r>
    </w:p>
    <w:p>
      <w:pPr>
        <w:pStyle w:val="ListBullet"/>
      </w:pPr>
      <w:r>
        <w:rPr>
          <w:b/>
          <w:sz w:val="22"/>
        </w:rPr>
        <w:t>A permanent home</w:t>
      </w:r>
      <w:r>
        <w:rPr>
          <w:sz w:val="22"/>
        </w:rPr>
        <w:t xml:space="preserve"> — this material is not UIAO and will not be canonized as a </w:t>
      </w:r>
      <w:r>
        <w:rPr>
          <w:rFonts w:ascii="Consolas" w:hAnsi="Consolas"/>
          <w:sz w:val="22"/>
        </w:rPr>
        <w:t>UIAO_NNN</w:t>
      </w:r>
      <w:r>
        <w:rPr>
          <w:sz w:val="22"/>
        </w:rPr>
        <w:t xml:space="preserve"> spec; if the AAN corpus moves to its own repo/product, the program moves with it.</w:t>
      </w:r>
    </w:p>
    <w:p>
      <w:pPr>
        <w:pStyle w:val="Heading2"/>
      </w:pPr>
      <w:r>
        <w:rPr>
          <w:color w:val="0D1B2E"/>
        </w:rPr>
        <w:t>Next</w:t>
      </w:r>
    </w:p>
    <w:p>
      <w:pPr>
        <w:pStyle w:val="ListBullet"/>
      </w:pPr>
      <w:r>
        <w:rPr>
          <w:b/>
          <w:sz w:val="22"/>
        </w:rPr>
        <w:t>Compliance staff</w:t>
      </w:r>
      <w:r>
        <w:rPr>
          <w:sz w:val="22"/>
        </w:rPr>
        <w:t xml:space="preserve"> → Track A — Compliance track, scored by the assessment rubrics</w:t>
      </w:r>
    </w:p>
    <w:p>
      <w:pPr>
        <w:pStyle w:val="ListBullet"/>
      </w:pPr>
      <w:r>
        <w:rPr>
          <w:b/>
          <w:sz w:val="22"/>
        </w:rPr>
        <w:t>Engineers</w:t>
      </w:r>
      <w:r>
        <w:rPr>
          <w:sz w:val="22"/>
        </w:rPr>
        <w:t xml:space="preserve"> → Track B — Implementation track, with lab environments</w:t>
      </w:r>
    </w:p>
    <w:p>
      <w:pPr>
        <w:pStyle w:val="ListBullet"/>
      </w:pPr>
      <w:r>
        <w:rPr>
          <w:b/>
          <w:sz w:val="22"/>
        </w:rPr>
        <w:t>Everyone</w:t>
      </w:r>
      <w:r>
        <w:rPr>
          <w:sz w:val="22"/>
        </w:rPr>
        <w:t xml:space="preserve"> → Vendor training catalog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