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</w:t>
      </w:r>
      <w:r>
        <w:t xml:space="preserve"> </w:t>
      </w:r>
      <w:r>
        <w:t xml:space="preserve">16</w:t>
      </w:r>
      <w:r>
        <w:t xml:space="preserve"> </w:t>
      </w:r>
      <w:r>
        <w:t xml:space="preserve">—</w:t>
      </w:r>
      <w:r>
        <w:t xml:space="preserve"> </w:t>
      </w:r>
      <w:r>
        <w:t xml:space="preserve">Federal</w:t>
      </w:r>
      <w:r>
        <w:t xml:space="preserve"> </w:t>
      </w:r>
      <w:r>
        <w:t xml:space="preserve">Application-Aware</w:t>
      </w:r>
      <w:r>
        <w:t xml:space="preserve"> </w:t>
      </w:r>
      <w:r>
        <w:t xml:space="preserve">Networking</w:t>
      </w:r>
      <w:r>
        <w:t xml:space="preserve"> </w:t>
      </w:r>
      <w:r>
        <w:t xml:space="preserve">—</w:t>
      </w:r>
      <w:r>
        <w:t xml:space="preserve"> </w:t>
      </w:r>
      <w:r>
        <w:t xml:space="preserve">Part</w:t>
      </w:r>
      <w:r>
        <w:t xml:space="preserve"> </w:t>
      </w:r>
      <w:r>
        <w:t xml:space="preserve">16</w:t>
      </w:r>
    </w:p>
    <w:p>
      <w:pPr>
        <w:pStyle w:val="Subtitle"/>
      </w:pPr>
      <w:r>
        <w:t xml:space="preserve">FedRAMP</w:t>
      </w:r>
      <w:r>
        <w:t xml:space="preserve"> </w:t>
      </w:r>
      <w:r>
        <w:t xml:space="preserve">20x</w:t>
      </w:r>
      <w:r>
        <w:t xml:space="preserve"> </w:t>
      </w:r>
      <w:r>
        <w:t xml:space="preserve">Authorization</w:t>
      </w:r>
      <w:r>
        <w:t xml:space="preserve"> </w:t>
      </w:r>
      <w:r>
        <w:t xml:space="preserve">Package,</w:t>
      </w:r>
      <w:r>
        <w:t xml:space="preserve"> </w:t>
      </w:r>
      <w:r>
        <w:t xml:space="preserve">Continuous</w:t>
      </w:r>
      <w:r>
        <w:t xml:space="preserve"> </w:t>
      </w:r>
      <w:r>
        <w:t xml:space="preserve">Monitoring,</w:t>
      </w:r>
      <w:r>
        <w:t xml:space="preserve"> </w:t>
      </w:r>
      <w:r>
        <w:t xml:space="preserve">and</w:t>
      </w:r>
      <w:r>
        <w:t xml:space="preserve"> </w:t>
      </w:r>
      <w:r>
        <w:t xml:space="preserve">BOD</w:t>
      </w:r>
      <w:r>
        <w:t xml:space="preserve"> </w:t>
      </w:r>
      <w:r>
        <w:t xml:space="preserve">26-04</w:t>
      </w:r>
      <w:r>
        <w:t xml:space="preserve"> </w:t>
      </w:r>
      <w:r>
        <w:t xml:space="preserve">Submission</w:t>
      </w:r>
    </w:p>
    <w:p>
      <w:pPr>
        <w:pStyle w:val="Author"/>
      </w:pPr>
      <w:r>
        <w:t xml:space="preserve">SSA</w:t>
      </w:r>
      <w:r>
        <w:t xml:space="preserve"> </w:t>
      </w:r>
      <w:r>
        <w:t xml:space="preserve">Cloud</w:t>
      </w:r>
      <w:r>
        <w:t xml:space="preserve"> </w:t>
      </w:r>
      <w:r>
        <w:t xml:space="preserve">Services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4,</w:t>
      </w:r>
      <w:r>
        <w:t xml:space="preserve"> </w:t>
      </w:r>
      <w:r>
        <w:t xml:space="preserve">2026</w:t>
      </w:r>
    </w:p>
    <w:bookmarkStart w:id="20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is the sixteenth and final book in the Federal Application-Aware Networking</w:t>
      </w:r>
      <w:r>
        <w:t xml:space="preserve"> </w:t>
      </w:r>
      <w:r>
        <w:t xml:space="preserve">(AAN) series. Parts 1–15 generated the evidence layer: infrastructure</w:t>
      </w:r>
      <w:r>
        <w:t xml:space="preserve"> </w:t>
      </w:r>
      <w:r>
        <w:t xml:space="preserve">architecture, security controls, governance artifacts, and training records</w:t>
      </w:r>
      <w:r>
        <w:t xml:space="preserve"> </w:t>
      </w:r>
      <w:r>
        <w:t xml:space="preserve">mapped to NIST SP 800-53 Rev 5 controls and FedRAMP 20x Consolidated Rules for</w:t>
      </w:r>
      <w:r>
        <w:t xml:space="preserve"> </w:t>
      </w:r>
      <w:r>
        <w:t xml:space="preserve">31 CR26 KSIs. This document assembles those artifacts into the</w:t>
      </w:r>
      <w:r>
        <w:t xml:space="preserve"> </w:t>
      </w:r>
      <w:r>
        <w:rPr>
          <w:bCs/>
          <w:b/>
        </w:rPr>
        <w:t xml:space="preserve">authorization</w:t>
      </w:r>
      <w:r>
        <w:rPr>
          <w:bCs/>
          <w:b/>
        </w:rPr>
        <w:t xml:space="preserve"> </w:t>
      </w:r>
      <w:r>
        <w:rPr>
          <w:bCs/>
          <w:b/>
        </w:rPr>
        <w:t xml:space="preserve">package</w:t>
      </w:r>
      <w:r>
        <w:t xml:space="preserve"> </w:t>
      </w:r>
      <w:r>
        <w:t xml:space="preserve">— the formal submission that requests a FedRAMP Authorization to</w:t>
      </w:r>
      <w:r>
        <w:t xml:space="preserve"> </w:t>
      </w:r>
      <w:r>
        <w:t xml:space="preserve">Operate (ATO).</w:t>
      </w:r>
    </w:p>
    <w:p>
      <w:pPr>
        <w:pStyle w:val="BodyText"/>
      </w:pPr>
      <w:r>
        <w:t xml:space="preserve">Part 16 addresses four deliverables: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Authorization Package Structure</w:t>
      </w:r>
      <w:r>
        <w:t xml:space="preserve"> </w:t>
      </w:r>
      <w:r>
        <w:t xml:space="preserve">— what documents, in which format, submitted where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Continuous Monitoring Program</w:t>
      </w:r>
      <w:r>
        <w:t xml:space="preserve"> </w:t>
      </w:r>
      <w:r>
        <w:t xml:space="preserve">— how the evidence stays fresh after ATO (CA-7)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BOD 26-04 VDR/VER Submission</w:t>
      </w:r>
      <w:r>
        <w:t xml:space="preserve"> </w:t>
      </w:r>
      <w:r>
        <w:t xml:space="preserve">— the December 7, 2026 SBOM + vendor disclosure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OSCAL AP+AR+POAM Bundle</w:t>
      </w:r>
      <w:r>
        <w:t xml:space="preserve"> </w:t>
      </w:r>
      <w:r>
        <w:t xml:space="preserve">— the machine-readable KSI evidence package</w:t>
      </w:r>
    </w:p>
    <w:p>
      <w:pPr>
        <w:pStyle w:val="FirstParagraph"/>
      </w:pPr>
      <w:r>
        <w:t xml:space="preserve">Controls closed by this document: CA-2, CA-5, CA-6, CA-7, CA-7(1), CA-7(3),</w:t>
      </w:r>
      <w:r>
        <w:t xml:space="preserve"> </w:t>
      </w:r>
      <w:r>
        <w:t xml:space="preserve">RA-3, SA-15.</w:t>
      </w:r>
    </w:p>
    <w:p>
      <w:r>
        <w:pict>
          <v:rect style="width:0;height:1.5pt" o:hralign="center" o:hrstd="t" o:hr="t"/>
        </w:pict>
      </w:r>
    </w:p>
    <w:bookmarkEnd w:id="20"/>
    <w:bookmarkStart w:id="26" w:name="X6c72c1f57fd8a4e2f7c09fcb24e856174ef11fb"/>
    <w:p>
      <w:pPr>
        <w:pStyle w:val="Heading1"/>
      </w:pPr>
      <w:r>
        <w:t xml:space="preserve">1 The Fifteen-Book Journey — All 29 KSIs Evaluable at High Confidence</w:t>
      </w:r>
    </w:p>
    <w:bookmarkStart w:id="21" w:name="series-summary"/>
    <w:p>
      <w:pPr>
        <w:pStyle w:val="Heading2"/>
      </w:pPr>
      <w:r>
        <w:t xml:space="preserve">1.1 Series Summary</w:t>
      </w:r>
    </w:p>
    <w:p>
      <w:pPr>
        <w:pStyle w:val="FirstParagraph"/>
      </w:pPr>
      <w:r>
        <w:t xml:space="preserve">The Federal AAN series delivered fifteen technical books covering the SSA GCC</w:t>
      </w:r>
      <w:r>
        <w:t xml:space="preserve"> </w:t>
      </w:r>
      <w:r>
        <w:t xml:space="preserve">Moderate boundary against NIST SP 800-53 Rev 5 and FedRAMP 20x Consolidated</w:t>
      </w:r>
      <w:r>
        <w:t xml:space="preserve"> </w:t>
      </w:r>
      <w:r>
        <w:t xml:space="preserve">Rules. Together the series closes</w:t>
      </w:r>
      <w:r>
        <w:t xml:space="preserve"> </w:t>
      </w:r>
      <w:r>
        <w:rPr>
          <w:bCs/>
          <w:b/>
        </w:rPr>
        <w:t xml:space="preserve">89+ distinct NIST controls</w:t>
      </w:r>
      <w:r>
        <w:t xml:space="preserve"> </w:t>
      </w:r>
      <w:r>
        <w:t xml:space="preserve">and provides</w:t>
      </w:r>
      <w:r>
        <w:t xml:space="preserve"> </w:t>
      </w:r>
      <w:r>
        <w:t xml:space="preserve">self-assessed evidence for all</w:t>
      </w:r>
      <w:r>
        <w:t xml:space="preserve"> </w:t>
      </w:r>
      <w:r>
        <w:rPr>
          <w:bCs/>
          <w:b/>
        </w:rPr>
        <w:t xml:space="preserve">29 FedRAMP 20x CR26 KSIs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Self-Assessment Notice.</w:t>
      </w:r>
      <w:r>
        <w:t xml:space="preserve"> </w:t>
      </w:r>
      <w:r>
        <w:t xml:space="preserve">All KSI verdicts in this document are produced by</w:t>
      </w:r>
      <w:r>
        <w:t xml:space="preserve"> </w:t>
      </w:r>
      <w:r>
        <w:t xml:space="preserve">the UIAO Conformance Adapter — an automated self-assessment tool. They are</w:t>
      </w:r>
      <w:r>
        <w:t xml:space="preserve"> </w:t>
      </w:r>
      <w:r>
        <w:t xml:space="preserve">advisory and do not constitute a formal authorization. Results must be</w:t>
      </w:r>
      <w:r>
        <w:t xml:space="preserve"> </w:t>
      </w:r>
      <w:r>
        <w:t xml:space="preserve">independently validated by a FedRAMP-recognized 3PAO and accepted by the</w:t>
      </w:r>
      <w:r>
        <w:t xml:space="preserve"> </w:t>
      </w:r>
      <w:r>
        <w:t xml:space="preserve">Agency Authorizing Official before an ATO is granted.</w:t>
      </w:r>
    </w:p>
    <w:p>
      <w:pPr>
        <w:pStyle w:val="TableCaption"/>
      </w:pPr>
      <w:r>
        <w:t xml:space="preserve">Federal AAN Series — Control Coverage Summary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Federal AAN Series — Control Coverage Summary {.striped .hover}"/>
      </w:tblPr>
      <w:tblGrid>
        <w:gridCol w:w="2066"/>
        <w:gridCol w:w="2410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InfoBlox DDI — IPAM, DNS, DHCP, PKI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SD-WAN, SASE, UC (Teams Phone, Amazon 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ID, ZTNA, Active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Authentication Modernization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family (depth)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Implementation 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Architecture / Network 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SC/SI families (depth)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Access Management (Entra PIM + PAW)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AC-5, AC-6(×7), AC-11/12, IA-11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Management (Defender VM + KEV)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RA-5(×3), SI-2(×2), SI-5, CM-7(×2)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(Purview + Key Vault CMK)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MP-2–5, SC-12/13/17/28, AU-10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/ XDR / Detection Engineering (Sentinel)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AU-6(×3), AU-7/8/11, SI-4(×4), IR-4/6/8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Continuity / Contingency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CP-2(×3), CP-3/4(×2), CP-6/7(×3), CP-8(×2)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Risk / SBOM / VDR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SR-1–3/5/6/8/10/11 + BOD 26-04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Management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PM-1/2/5/7/9/11/14/15/30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Processing and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PT-1/2/3/4/5/7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Awareness and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AT-2, AT-2(1)/2, AT-3, AT-3(3)/5, AT-4, CP-3, IR-2</w:t>
            </w:r>
          </w:p>
        </w:tc>
      </w:tr>
    </w:tbl>
    <w:bookmarkEnd w:id="21"/>
    <w:bookmarkStart w:id="25" w:name="ksi-scorecard"/>
    <w:p>
      <w:pPr>
        <w:pStyle w:val="Heading2"/>
      </w:pPr>
      <w:r>
        <w:t xml:space="preserve">1.2 KSI Scorecard</w:t>
      </w:r>
    </w:p>
    <w:p>
      <w:pPr>
        <w:pStyle w:val="FirstParagraph"/>
      </w:pPr>
      <w:r>
        <w:t xml:space="preserve">The UIAO Conformance Adapter evaluates all 29 FedRAMP 20x CR26 KSIs against the</w:t>
      </w:r>
      <w:r>
        <w:t xml:space="preserve"> </w:t>
      </w:r>
      <w:r>
        <w:t xml:space="preserve">AAN slot evidence. As of July 4, 2026 (self-assessment — pending 3PAO validation):</w:t>
      </w:r>
    </w:p>
    <w:p>
      <w:pPr>
        <w:pStyle w:val="TableCaption"/>
      </w:pPr>
      <w:r>
        <w:t xml:space="preserve">KSI Evaluation Summary — 29/29 Evaluable at High Confidence (Self-Assessed)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KSI Evaluation Summary — 29/29 Evaluable at High Confidence (Self-Assessed) {.striped .hover}"/>
      </w:tblPr>
      <w:tblGrid>
        <w:gridCol w:w="3090"/>
        <w:gridCol w:w="1352"/>
        <w:gridCol w:w="1738"/>
        <w:gridCol w:w="17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Evaluation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CISA ScuBA adapter (M365 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KSI-001..010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AAN slot evaluator — high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KSI-011..029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Scaffold (pending evidence)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All 29 CR26 KSIs evaluated at high confidence in the current self-assessment run.</w:t>
      </w:r>
      <w:r>
        <w:t xml:space="preserve"> </w:t>
      </w:r>
      <w:r>
        <w:t xml:space="preserve">Zero open risks identified. Zero POA&amp;M items generated. These results are</w:t>
      </w:r>
      <w:r>
        <w:t xml:space="preserve"> </w:t>
      </w:r>
      <w:r>
        <w:t xml:space="preserve">advisory pending independent 3PAO validation. The OSCAL Assessment Results (AR)</w:t>
      </w:r>
      <w:r>
        <w:t xml:space="preserve"> </w:t>
      </w:r>
      <w:r>
        <w:t xml:space="preserve">document is the machine-readable CA-2 deliverable.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edRAMP 20x Authorization Package Structure" title="" id="23" name="Picture"/>
            <a:graphic>
              <a:graphicData uri="http://schemas.openxmlformats.org/drawingml/2006/picture">
                <pic:pic>
                  <pic:nvPicPr>
                    <pic:cNvPr descr="figs/ato-fig-01-package-struct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FedRAMP 20x Authorization Package Structure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7d46b70c40397f6c0118ffafaf8fcea05c8cc2a"/>
    <w:p>
      <w:pPr>
        <w:pStyle w:val="Heading1"/>
      </w:pPr>
      <w:r>
        <w:t xml:space="preserve">2 OSCAL Bundle — Machine-Readable KSI Evidence (CA-2, CA-5)</w:t>
      </w:r>
    </w:p>
    <w:bookmarkStart w:id="27" w:name="bundle-architecture"/>
    <w:p>
      <w:pPr>
        <w:pStyle w:val="Heading2"/>
      </w:pPr>
      <w:r>
        <w:t xml:space="preserve">2.1 Bundle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uiao oscal bundle</w:t>
      </w:r>
      <w:r>
        <w:t xml:space="preserve"> </w:t>
      </w:r>
      <w:r>
        <w:t xml:space="preserve">command generates three interlinked OSCAL 1.0.4 documents</w:t>
      </w:r>
      <w:r>
        <w:t xml:space="preserve"> </w:t>
      </w:r>
      <w:r>
        <w:t xml:space="preserve">that constitute the machine-readable KSI evidence package:</w:t>
      </w:r>
    </w:p>
    <w:p>
      <w:pPr>
        <w:pStyle w:val="TableCaption"/>
      </w:pPr>
      <w:r>
        <w:t xml:space="preserve">OSCAL Bundle Documents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OSCAL Bundle Documents {.striped .hover}"/>
      </w:tblPr>
      <w:tblGrid>
        <w:gridCol w:w="2084"/>
        <w:gridCol w:w="1250"/>
        <w:gridCol w:w="2709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 Plan (AP)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ksi-ap.json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what was assessed, which controls, and by which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 Results (AR)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ksi-ar.json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CA-2, RA-3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findings, verdicts, and risks for all 29 KSIs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of Action and Milestones (POA&amp;M)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ksi-poam.json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open findings and remediation milestones (zero items currently)</w:t>
            </w:r>
          </w:p>
        </w:tc>
      </w:tr>
    </w:tbl>
    <w:p>
      <w:pPr>
        <w:pStyle w:val="BodyText"/>
      </w:pPr>
      <w:r>
        <w:t xml:space="preserve">The three documents are linked by UUID reference:</w:t>
      </w:r>
    </w:p>
    <w:p>
      <w:pPr>
        <w:numPr>
          <w:ilvl w:val="0"/>
          <w:numId w:val="1002"/>
        </w:numPr>
        <w:pStyle w:val="Compact"/>
      </w:pPr>
      <w:r>
        <w:t xml:space="preserve">The AP specifies what was planned (</w:t>
      </w:r>
      <w:r>
        <w:rPr>
          <w:rStyle w:val="VerbatimChar"/>
        </w:rPr>
        <w:t xml:space="preserve">assessment-plan.uuid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The AR imports the AP (</w:t>
      </w:r>
      <w:r>
        <w:rPr>
          <w:rStyle w:val="VerbatimChar"/>
        </w:rPr>
        <w:t xml:space="preserve">import-ap.href = "#&lt;ap-uuid&gt;"</w:t>
      </w:r>
      <w:r>
        <w:t xml:space="preserve">) and records results</w:t>
      </w:r>
    </w:p>
    <w:p>
      <w:pPr>
        <w:numPr>
          <w:ilvl w:val="0"/>
          <w:numId w:val="1002"/>
        </w:numPr>
        <w:pStyle w:val="Compact"/>
      </w:pPr>
      <w:r>
        <w:t xml:space="preserve">The POA&amp;M imports the AP (</w:t>
      </w:r>
      <w:r>
        <w:rPr>
          <w:rStyle w:val="VerbatimChar"/>
        </w:rPr>
        <w:t xml:space="preserve">import-ap.href = "#&lt;ap-uuid&gt;"</w:t>
      </w:r>
      <w:r>
        <w:t xml:space="preserve">) and references AR observations</w:t>
      </w:r>
    </w:p>
    <w:bookmarkEnd w:id="27"/>
    <w:bookmarkStart w:id="28" w:name="generating-the-bundle"/>
    <w:p>
      <w:pPr>
        <w:pStyle w:val="Heading2"/>
      </w:pPr>
      <w:r>
        <w:t xml:space="preserve">2.2 Generating the Bundle</w:t>
      </w:r>
    </w:p>
    <w:p>
      <w:pPr>
        <w:pStyle w:val="SourceCode"/>
      </w:pPr>
      <w:r>
        <w:rPr>
          <w:rStyle w:val="CommentTok"/>
        </w:rPr>
        <w:t xml:space="preserve"># Generate AP + AR + POA&amp;M for the SSA GCC Moderate boundary</w:t>
      </w:r>
      <w:r>
        <w:br/>
      </w:r>
      <w:r>
        <w:rPr>
          <w:rStyle w:val="ExtensionTok"/>
        </w:rPr>
        <w:t xml:space="preserve">uiao</w:t>
      </w:r>
      <w:r>
        <w:rPr>
          <w:rStyle w:val="NormalTok"/>
        </w:rPr>
        <w:t xml:space="preserve"> oscal bundle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--system-name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"SSA GCC Moderate"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output/artifacts/ksi-bundle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  output/artifacts/ksi-bundle/ksi-ap.json</w:t>
      </w:r>
      <w:r>
        <w:br/>
      </w:r>
      <w:r>
        <w:rPr>
          <w:rStyle w:val="CommentTok"/>
        </w:rPr>
        <w:t xml:space="preserve">#   output/artifacts/ksi-bundle/ksi-ar.json</w:t>
      </w:r>
      <w:r>
        <w:br/>
      </w:r>
      <w:r>
        <w:rPr>
          <w:rStyle w:val="CommentTok"/>
        </w:rPr>
        <w:t xml:space="preserve">#   output/artifacts/ksi-bundle/ksi-poam.json</w:t>
      </w:r>
      <w:r>
        <w:br/>
      </w:r>
      <w:r>
        <w:rPr>
          <w:rStyle w:val="CommentTok"/>
        </w:rPr>
        <w:t xml:space="preserve">#   output/artifacts/ksi-bundle/artifact-index.json</w:t>
      </w:r>
    </w:p>
    <w:p>
      <w:pPr>
        <w:pStyle w:val="FirstParagraph"/>
      </w:pPr>
      <w:r>
        <w:t xml:space="preserve">The bundle is regenerated as part of ConMon cadence — monthly for ongoing</w:t>
      </w:r>
      <w:r>
        <w:t xml:space="preserve"> </w:t>
      </w:r>
      <w:r>
        <w:t xml:space="preserve">monitoring, and on-demand for the authorization package submission.</w:t>
      </w:r>
    </w:p>
    <w:bookmarkEnd w:id="28"/>
    <w:bookmarkStart w:id="29" w:name="assessment-plan-structure"/>
    <w:p>
      <w:pPr>
        <w:pStyle w:val="Heading2"/>
      </w:pPr>
      <w:r>
        <w:t xml:space="preserve">2.3 Assessment Plan Structure</w:t>
      </w:r>
    </w:p>
    <w:p>
      <w:pPr>
        <w:pStyle w:val="FirstParagraph"/>
      </w:pPr>
      <w:r>
        <w:t xml:space="preserve">The AP is organized around the ten KSI themes from FedRAMP 20x:</w:t>
      </w:r>
    </w:p>
    <w:p>
      <w:pPr>
        <w:pStyle w:val="TableCaption"/>
      </w:pPr>
      <w:r>
        <w:t xml:space="preserve">KSI Themes and Evidence Slots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KSI Themes and Evidence Slots {.striped .hover}"/>
      </w:tblPr>
      <w:tblGrid>
        <w:gridCol w:w="1584"/>
        <w:gridCol w:w="2489"/>
        <w:gridCol w:w="38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Slot(s)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KSI-001, KSI-003, KSI-009, KSI-017–019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slot-01 identity; ScuBA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KSI-004, KSI-007, KSI-008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slot-03/04; ScuBA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KSI-CNA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slot-03; ScuBA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KSI-MLA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KSI-005, KSI-006, KSI-010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slot-02/04; ScuBA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KSI-CMT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KSI-011–014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KSI-015, KSI-016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KSI-PIY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KSI-020, KSI-021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slot-05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KSI-023–025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slot-04/07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KSI-RPL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KSI-026–029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slot-07 continuity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slot-08 training</w:t>
            </w:r>
          </w:p>
        </w:tc>
      </w:tr>
    </w:tbl>
    <w:bookmarkEnd w:id="29"/>
    <w:bookmarkStart w:id="30" w:name="assessment-results-finding-structure"/>
    <w:p>
      <w:pPr>
        <w:pStyle w:val="Heading2"/>
      </w:pPr>
      <w:r>
        <w:t xml:space="preserve">2.4 Assessment Results — Finding Structure</w:t>
      </w:r>
    </w:p>
    <w:p>
      <w:pPr>
        <w:pStyle w:val="FirstParagraph"/>
      </w:pPr>
      <w:r>
        <w:t xml:space="preserve">Each of the 29 findings in the AR carries: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target.status.state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satisfied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not-satisfied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other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props</w:t>
      </w:r>
      <w:r>
        <w:t xml:space="preserve">:</w:t>
      </w:r>
      <w:r>
        <w:t xml:space="preserve"> </w:t>
      </w:r>
      <w:r>
        <w:rPr>
          <w:rStyle w:val="VerbatimChar"/>
        </w:rPr>
        <w:t xml:space="preserve">ksi-id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cr26-control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mapping-confidence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observations</w:t>
      </w:r>
      <w:r>
        <w:t xml:space="preserve">: linked observation with description, artifact refs, and slot IDs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risks</w:t>
      </w:r>
      <w:r>
        <w:t xml:space="preserve">: open only for</w:t>
      </w:r>
      <w:r>
        <w:t xml:space="preserve"> </w:t>
      </w:r>
      <w:r>
        <w:rPr>
          <w:rStyle w:val="VerbatimChar"/>
        </w:rPr>
        <w:t xml:space="preserve">not-satisfied</w:t>
      </w:r>
      <w:r>
        <w:t xml:space="preserve"> </w:t>
      </w:r>
      <w:r>
        <w:t xml:space="preserve">findings (zero in current run)</w:t>
      </w:r>
    </w:p>
    <w:p>
      <w:pPr>
        <w:pStyle w:val="FirstParagraph"/>
      </w:pPr>
      <w:r>
        <w:t xml:space="preserve">The AR is the machine-readable equivalent of a Security Assessment Report (SAR)</w:t>
      </w:r>
      <w:r>
        <w:t xml:space="preserve"> </w:t>
      </w:r>
      <w:r>
        <w:t xml:space="preserve">for the KSI evidence dimension. It satisfies</w:t>
      </w:r>
      <w:r>
        <w:t xml:space="preserve"> </w:t>
      </w:r>
      <w:r>
        <w:rPr>
          <w:bCs/>
          <w:b/>
        </w:rPr>
        <w:t xml:space="preserve">CA-2 (Security Assessments)</w:t>
      </w:r>
      <w:r>
        <w:t xml:space="preserve"> </w:t>
      </w:r>
      <w:r>
        <w:t xml:space="preserve">by</w:t>
      </w:r>
      <w:r>
        <w:t xml:space="preserve"> </w:t>
      </w:r>
      <w:r>
        <w:t xml:space="preserve">providing a documented, repeatable, automated assessment of all KSI controls.</w:t>
      </w:r>
    </w:p>
    <w:bookmarkEnd w:id="30"/>
    <w:bookmarkStart w:id="31" w:name="poam-status"/>
    <w:p>
      <w:pPr>
        <w:pStyle w:val="Heading2"/>
      </w:pPr>
      <w:r>
        <w:t xml:space="preserve">2.5 POA&amp;M Status</w:t>
      </w:r>
    </w:p>
    <w:p>
      <w:pPr>
        <w:pStyle w:val="FirstParagraph"/>
      </w:pPr>
      <w:r>
        <w:t xml:space="preserve">As of the July 4, 2026 bundle generation:</w:t>
      </w:r>
    </w:p>
    <w:p>
      <w:pPr>
        <w:pStyle w:val="SourceCode"/>
      </w:pPr>
      <w:r>
        <w:rPr>
          <w:rStyle w:val="VerbatimChar"/>
        </w:rPr>
        <w:t xml:space="preserve">Satisfied     : 29  (all 29 CR26 KSIs)</w:t>
      </w:r>
      <w:r>
        <w:br/>
      </w:r>
      <w:r>
        <w:rPr>
          <w:rStyle w:val="VerbatimChar"/>
        </w:rPr>
        <w:t xml:space="preserve">Not-satisfied : 0</w:t>
      </w:r>
      <w:r>
        <w:br/>
      </w:r>
      <w:r>
        <w:rPr>
          <w:rStyle w:val="VerbatimChar"/>
        </w:rPr>
        <w:t xml:space="preserve">Not-evaluated : 0</w:t>
      </w:r>
      <w:r>
        <w:br/>
      </w:r>
      <w:r>
        <w:rPr>
          <w:rStyle w:val="VerbatimChar"/>
        </w:rPr>
        <w:t xml:space="preserve">Open risks    : 0</w:t>
      </w:r>
      <w:r>
        <w:br/>
      </w:r>
      <w:r>
        <w:rPr>
          <w:rStyle w:val="VerbatimChar"/>
        </w:rPr>
        <w:t xml:space="preserve">POA&amp;M items   : 0</w:t>
      </w:r>
    </w:p>
    <w:p>
      <w:pPr>
        <w:pStyle w:val="FirstParagraph"/>
      </w:pPr>
      <w:r>
        <w:t xml:space="preserve">A zero-item POA&amp;M is the correct target state for the self-assessment — it means</w:t>
      </w:r>
      <w:r>
        <w:t xml:space="preserve"> </w:t>
      </w:r>
      <w:r>
        <w:t xml:space="preserve">all required controls are assessed as satisfied in the current adapter run. The POA&amp;M will be regenerated after each assessment</w:t>
      </w:r>
      <w:r>
        <w:t xml:space="preserve"> </w:t>
      </w:r>
      <w:r>
        <w:t xml:space="preserve">cycle; any findings that emerge (e.g., from a training completion gap or an</w:t>
      </w:r>
      <w:r>
        <w:t xml:space="preserve"> </w:t>
      </w:r>
      <w:r>
        <w:t xml:space="preserve">unrevoked privilege) will automatically populate it via the</w:t>
      </w:r>
      <w:r>
        <w:t xml:space="preserve"> </w:t>
      </w:r>
      <w:r>
        <w:rPr>
          <w:rStyle w:val="VerbatimChar"/>
        </w:rPr>
        <w:t xml:space="preserve">_extract_ar_gaps()</w:t>
      </w:r>
      <w:r>
        <w:t xml:space="preserve"> </w:t>
      </w:r>
      <w:r>
        <w:t xml:space="preserve">function.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continuous-monitoring-program-ca-7"/>
    <w:p>
      <w:pPr>
        <w:pStyle w:val="Heading1"/>
      </w:pPr>
      <w:r>
        <w:t xml:space="preserve">3 Continuous Monitoring Program (CA-7)</w:t>
      </w:r>
    </w:p>
    <w:bookmarkStart w:id="36" w:name="conmon-framework"/>
    <w:p>
      <w:pPr>
        <w:pStyle w:val="Heading2"/>
      </w:pPr>
      <w:r>
        <w:t xml:space="preserve">3.1 ConMon Framework</w:t>
      </w:r>
    </w:p>
    <w:p>
      <w:pPr>
        <w:pStyle w:val="FirstParagraph"/>
      </w:pPr>
      <w:r>
        <w:t xml:space="preserve">CA-7 requires the organization to develop and implement a continuous monitoring</w:t>
      </w:r>
      <w:r>
        <w:t xml:space="preserve"> </w:t>
      </w:r>
      <w:r>
        <w:t xml:space="preserve">strategy that includes:</w:t>
      </w:r>
    </w:p>
    <w:p>
      <w:pPr>
        <w:numPr>
          <w:ilvl w:val="0"/>
          <w:numId w:val="1004"/>
        </w:numPr>
        <w:pStyle w:val="Compact"/>
      </w:pPr>
      <w:r>
        <w:t xml:space="preserve">Metrics for monitoring control effectiveness</w:t>
      </w:r>
    </w:p>
    <w:p>
      <w:pPr>
        <w:numPr>
          <w:ilvl w:val="0"/>
          <w:numId w:val="1004"/>
        </w:numPr>
        <w:pStyle w:val="Compact"/>
      </w:pPr>
      <w:r>
        <w:t xml:space="preserve">Frequencies for monitoring, assessment, and reporting</w:t>
      </w:r>
    </w:p>
    <w:p>
      <w:pPr>
        <w:numPr>
          <w:ilvl w:val="0"/>
          <w:numId w:val="1004"/>
        </w:numPr>
        <w:pStyle w:val="Compact"/>
      </w:pPr>
      <w:r>
        <w:t xml:space="preserve">Ongoing awareness training requirements</w:t>
      </w:r>
    </w:p>
    <w:p>
      <w:pPr>
        <w:numPr>
          <w:ilvl w:val="0"/>
          <w:numId w:val="1004"/>
        </w:numPr>
        <w:pStyle w:val="Compact"/>
      </w:pPr>
      <w:r>
        <w:t xml:space="preserve">Reporting to the Authorizing Official</w:t>
      </w:r>
    </w:p>
    <w:p>
      <w:pPr>
        <w:pStyle w:val="FirstParagraph"/>
      </w:pPr>
      <w:r>
        <w:t xml:space="preserve">The Federal AAN series provides the evidence generation layer. The ConMon</w:t>
      </w:r>
      <w:r>
        <w:t xml:space="preserve"> </w:t>
      </w:r>
      <w:r>
        <w:t xml:space="preserve">program operationalizes it on a recurring cadence.</w:t>
      </w:r>
    </w:p>
    <w:p>
      <w:pPr>
        <w:pStyle w:val="CaptionedFigure"/>
      </w:pPr>
      <w:r>
        <w:drawing>
          <wp:inline>
            <wp:extent cx="5334000" cy="2154115"/>
            <wp:effectExtent b="0" l="0" r="0" t="0"/>
            <wp:docPr descr="Continuous Monitoring Calendar — Annual Cadence" title="" id="34" name="Picture"/>
            <a:graphic>
              <a:graphicData uri="http://schemas.openxmlformats.org/drawingml/2006/picture">
                <pic:pic>
                  <pic:nvPicPr>
                    <pic:cNvPr descr="figs/ato-fig-02-conmon-calendar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Continuous Monitoring Calendar — Annual Cadence</w:t>
      </w:r>
    </w:p>
    <w:bookmarkEnd w:id="36"/>
    <w:bookmarkStart w:id="37" w:name="monthly-conmon-activities"/>
    <w:p>
      <w:pPr>
        <w:pStyle w:val="Heading2"/>
      </w:pPr>
      <w:r>
        <w:t xml:space="preserve">3.2 Monthly ConMon Activities</w:t>
      </w:r>
    </w:p>
    <w:p>
      <w:pPr>
        <w:pStyle w:val="TableCaption"/>
      </w:pPr>
      <w:r>
        <w:t xml:space="preserve">Monthly ConMon Activity Matrix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onthly ConMon Activity Matrix {.striped .hover}"/>
      </w:tblPr>
      <w:tblGrid>
        <w:gridCol w:w="2475"/>
        <w:gridCol w:w="1732"/>
        <w:gridCol w:w="1485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OSCAL AR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 oscal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</w:t>
            </w:r>
            <w:r>
              <w:t xml:space="preserve"> </w:t>
            </w:r>
            <w:r>
              <w:rPr>
                <w:rStyle w:val="VerbatimChar"/>
              </w:rPr>
              <w:t xml:space="preserve">ksi-ar.json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ScuBA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ScuBAGear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M365 baseline assessment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Sentinel ConMon dashboard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ConMon dashboard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 status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 + ISSM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 oscal bundle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ksi-poam.json</w:t>
            </w:r>
            <w:r>
              <w:t xml:space="preserve"> </w:t>
            </w:r>
            <w:r>
              <w:t xml:space="preserve">(zero-item 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VM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for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RA-5 scan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 delta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Syft + Grype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CycloneDX BOM diff</w:t>
            </w:r>
          </w:p>
        </w:tc>
      </w:tr>
    </w:tbl>
    <w:bookmarkEnd w:id="37"/>
    <w:bookmarkStart w:id="38" w:name="quarterly-activities"/>
    <w:p>
      <w:pPr>
        <w:pStyle w:val="Heading2"/>
      </w:pPr>
      <w:r>
        <w:t xml:space="preserve">3.3 Quarterly Activities</w:t>
      </w:r>
    </w:p>
    <w:p>
      <w:pPr>
        <w:pStyle w:val="TableCaption"/>
      </w:pPr>
      <w:r>
        <w:t xml:space="preserve">Quarterly ConMon Schedule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Quarterly ConMon Schedule {.striped .hover}"/>
      </w:tblPr>
      <w:tblGrid>
        <w:gridCol w:w="766"/>
        <w:gridCol w:w="2554"/>
        <w:gridCol w:w="2299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Q1/Q2/Q3/Q4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 evidence quality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CA-7(3)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report from AR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Q1/Q2/Q3/Q4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completion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AT-4, KSI-022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governance.training-effectiveness-record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Q1/Q2/Q3/Q4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 binding confidence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 YAML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Q1/Q3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access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AC-6, KSI-IAM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PIM access review</w:t>
            </w:r>
          </w:p>
        </w:tc>
      </w:tr>
    </w:tbl>
    <w:bookmarkEnd w:id="38"/>
    <w:bookmarkStart w:id="39" w:name="semi-annual-activities"/>
    <w:p>
      <w:pPr>
        <w:pStyle w:val="Heading2"/>
      </w:pPr>
      <w:r>
        <w:t xml:space="preserve">3.4 Semi-Annual Activities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376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 tabletop drill (SOC scenario exercise)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IR-2, KSI-INR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15 §3 IR Drill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CP-3 contingency training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CP-3, KSI-RPL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 §4 Tabletop 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 freshness + VDR/VER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SR-5, SR-6, KSI-SCR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 §5 VDR Pipeline</w:t>
            </w:r>
          </w:p>
        </w:tc>
      </w:tr>
    </w:tbl>
    <w:bookmarkEnd w:id="39"/>
    <w:bookmarkStart w:id="40" w:name="annual-activities"/>
    <w:p>
      <w:pPr>
        <w:pStyle w:val="Heading2"/>
      </w:pPr>
      <w:r>
        <w:t xml:space="preserve">3.5 Annual Activities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2741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KSI re-assessment (all 29 rules)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CA-2, CA-7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AT-2 annual security awareness training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AT-2, KSI-CED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Training Coordinator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CP-2 contingency plan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CP-2, KSI-RPL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Continuity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PM-14 T&amp;T&amp;M plan annual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 renewal package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 + Authorizing Official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 26-04 SBOM annual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SR-11, KSI-SCR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team</w:t>
            </w:r>
          </w:p>
        </w:tc>
      </w:tr>
    </w:tbl>
    <w:bookmarkEnd w:id="40"/>
    <w:bookmarkStart w:id="41" w:name="trend-analysis-ca-73"/>
    <w:p>
      <w:pPr>
        <w:pStyle w:val="Heading2"/>
      </w:pPr>
      <w:r>
        <w:t xml:space="preserve">3.6 Trend Analysis (CA-7(3))</w:t>
      </w:r>
    </w:p>
    <w:p>
      <w:pPr>
        <w:pStyle w:val="FirstParagraph"/>
      </w:pPr>
      <w:r>
        <w:t xml:space="preserve">The OSCAL AR tracks KSI verdict history across assessment cycles. Trend analysis</w:t>
      </w:r>
      <w:r>
        <w:t xml:space="preserve"> </w:t>
      </w:r>
      <w:r>
        <w:t xml:space="preserve">is performed quarterly by comparing the current AR against the previous three</w:t>
      </w:r>
      <w:r>
        <w:t xml:space="preserve"> </w:t>
      </w:r>
      <w:r>
        <w:t xml:space="preserve">months of AR snapshots:</w:t>
      </w:r>
    </w:p>
    <w:p>
      <w:pPr>
        <w:pStyle w:val="SourceCode"/>
      </w:pPr>
      <w:r>
        <w:rPr>
          <w:rStyle w:val="CommentTok"/>
        </w:rPr>
        <w:t xml:space="preserve"># Compare current AR with previous quarter's snapshot</w:t>
      </w:r>
      <w:r>
        <w:br/>
      </w:r>
      <w:r>
        <w:rPr>
          <w:rStyle w:val="ExtensionTok"/>
        </w:rPr>
        <w:t xml:space="preserve">uiao</w:t>
      </w:r>
      <w:r>
        <w:rPr>
          <w:rStyle w:val="NormalTok"/>
        </w:rPr>
        <w:t xml:space="preserve"> oscal ksi-ar </w:t>
      </w:r>
      <w:r>
        <w:rPr>
          <w:rStyle w:val="AttributeTok"/>
        </w:rPr>
        <w:t xml:space="preserve">--output-path</w:t>
      </w:r>
      <w:r>
        <w:rPr>
          <w:rStyle w:val="NormalTok"/>
        </w:rPr>
        <w:t xml:space="preserve"> output/artifacts/ksi-bundle/ksi-ar-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Historical ARs accumulate in output/artifacts/ksi-bundle/history/</w:t>
      </w:r>
      <w:r>
        <w:br/>
      </w:r>
      <w:r>
        <w:rPr>
          <w:rStyle w:val="CommentTok"/>
        </w:rPr>
        <w:t xml:space="preserve"># Trend: satisfied count should be stable at 29; any drop triggers POA&amp;M entry</w:t>
      </w:r>
    </w:p>
    <w:p>
      <w:pPr>
        <w:pStyle w:val="FirstParagraph"/>
      </w:pPr>
      <w:r>
        <w:t xml:space="preserve">A downward trend in satisfied count (e.g., a training completion gap dropping</w:t>
      </w:r>
      <w:r>
        <w:t xml:space="preserve"> </w:t>
      </w:r>
      <w:r>
        <w:t xml:space="preserve">KSI-022 to not-satisfied) triggers automatic POA&amp;M creation on the next bundle</w:t>
      </w:r>
      <w:r>
        <w:t xml:space="preserve"> </w:t>
      </w:r>
      <w:r>
        <w:t xml:space="preserve">run, providing the AO with an early warning signal.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fedramp-20x-authorization-package-ca-6"/>
    <w:p>
      <w:pPr>
        <w:pStyle w:val="Heading1"/>
      </w:pPr>
      <w:r>
        <w:t xml:space="preserve">4 FedRAMP 20x Authorization Package (CA-6)</w:t>
      </w:r>
    </w:p>
    <w:bookmarkStart w:id="43" w:name="package-components"/>
    <w:p>
      <w:pPr>
        <w:pStyle w:val="Heading2"/>
      </w:pPr>
      <w:r>
        <w:t xml:space="preserve">4.1 Package Components</w:t>
      </w:r>
    </w:p>
    <w:p>
      <w:pPr>
        <w:pStyle w:val="FirstParagraph"/>
      </w:pPr>
      <w:r>
        <w:t xml:space="preserve">The FedRAMP 20x authorization package has a simpler structure than the Rev 5</w:t>
      </w:r>
      <w:r>
        <w:t xml:space="preserve"> </w:t>
      </w:r>
      <w:r>
        <w:t xml:space="preserve">package. FedRAMP 20x replaces the 325-control audit with a KSI-evidence model.</w:t>
      </w:r>
      <w:r>
        <w:t xml:space="preserve"> </w:t>
      </w:r>
      <w:r>
        <w:t xml:space="preserve">The authorization package consists of:</w:t>
      </w:r>
    </w:p>
    <w:p>
      <w:pPr>
        <w:pStyle w:val="TableCaption"/>
      </w:pPr>
      <w:r>
        <w:t xml:space="preserve">FedRAMP 20x Authorization Package — Component Index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FedRAMP 20x Authorization Package — Component Index {.striped .hover}"/>
      </w:tblPr>
      <w:tblGrid>
        <w:gridCol w:w="3226"/>
        <w:gridCol w:w="234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Security Plan (SSP)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 generate ssp</w:t>
            </w:r>
            <w:r>
              <w:t xml:space="preserve"> </w:t>
            </w:r>
            <w:r>
              <w:t xml:space="preserve">(Part 1 architecture as baseline)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 Assessment Plan (AP)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output/artifacts/ksi-bundle/ksi-ap.json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 Assessment Results (AR)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output/artifacts/ksi-bundle/ksi-ar.json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of Action &amp;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output/artifacts/ksi-bundle/ksi-poam.json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AAN Evidence Book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1–15 (inbox/Application Aware Networking/)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 26-04 VDR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CycloneDX 1.6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12 SBOM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Effectiveness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governance.training-effectiveness-record</w:t>
            </w:r>
            <w:r>
              <w:t xml:space="preserve"> </w:t>
            </w:r>
            <w:r>
              <w:t xml:space="preserve">(Part 15)</w:t>
            </w:r>
          </w:p>
        </w:tc>
      </w:tr>
    </w:tbl>
    <w:bookmarkEnd w:id="43"/>
    <w:bookmarkStart w:id="44" w:name="submission-timeline"/>
    <w:p>
      <w:pPr>
        <w:pStyle w:val="Heading2"/>
      </w:pPr>
      <w:r>
        <w:t xml:space="preserve">4.2 Submission Timeline</w:t>
      </w:r>
    </w:p>
    <w:p>
      <w:pPr>
        <w:pStyle w:val="TableCaption"/>
      </w:pPr>
      <w:r>
        <w:t xml:space="preserve">Authorization Timeline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uthorization Timeline {.striped .hover}"/>
      </w:tblPr>
      <w:tblGrid>
        <w:gridCol w:w="3484"/>
        <w:gridCol w:w="1900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20x Class A 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3,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20x Class B + C 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31,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Upcoming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 26-04 VDR/VER 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 7,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FedRAMP 20x mandatory for new authorizations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authorization package (Class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Nov–Dec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 decision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</w:tbl>
    <w:bookmarkEnd w:id="44"/>
    <w:bookmarkStart w:id="45" w:name="X375cb839b722f48475da0b72b146f138924ddd4"/>
    <w:p>
      <w:pPr>
        <w:pStyle w:val="Heading2"/>
      </w:pPr>
      <w:r>
        <w:t xml:space="preserve">4.3 Authorizing Official Package Review Checklist</w:t>
      </w:r>
    </w:p>
    <w:p>
      <w:pPr>
        <w:pStyle w:val="FirstParagraph"/>
      </w:pPr>
      <w:r>
        <w:t xml:space="preserve">Before submission, the Authorizing Official (AO) reviews:</w:t>
      </w:r>
    </w:p>
    <w:p>
      <w:pPr>
        <w:numPr>
          <w:ilvl w:val="0"/>
          <w:numId w:val="1005"/>
        </w:numPr>
        <w:pStyle w:val="Compact"/>
      </w:pPr>
      <w:r>
        <w:t xml:space="preserve">☐ All 29 KSIs self-assessed as satisfied in current AR (zero open risks); 3PAO validation scheduled</w:t>
      </w:r>
    </w:p>
    <w:p>
      <w:pPr>
        <w:numPr>
          <w:ilvl w:val="0"/>
          <w:numId w:val="1005"/>
        </w:numPr>
        <w:pStyle w:val="Compact"/>
      </w:pPr>
      <w:r>
        <w:t xml:space="preserve">☐ POA&amp;M is empty or all items have approved milestones</w:t>
      </w:r>
    </w:p>
    <w:p>
      <w:pPr>
        <w:numPr>
          <w:ilvl w:val="0"/>
          <w:numId w:val="1005"/>
        </w:numPr>
        <w:pStyle w:val="Compact"/>
      </w:pPr>
      <w:r>
        <w:t xml:space="preserve">☐ BOD 26-04 VDR submission filed by December 7, 2026</w:t>
      </w:r>
    </w:p>
    <w:p>
      <w:pPr>
        <w:numPr>
          <w:ilvl w:val="0"/>
          <w:numId w:val="1005"/>
        </w:numPr>
        <w:pStyle w:val="Compact"/>
      </w:pPr>
      <w:r>
        <w:t xml:space="preserve">☐ Training effectiveness record dated within the last 12 months</w:t>
      </w:r>
    </w:p>
    <w:p>
      <w:pPr>
        <w:numPr>
          <w:ilvl w:val="0"/>
          <w:numId w:val="1005"/>
        </w:numPr>
        <w:pStyle w:val="Compact"/>
      </w:pPr>
      <w:r>
        <w:t xml:space="preserve">☐ SBOM generated within the last 90 days (Syft + Grype pipeline)</w:t>
      </w:r>
    </w:p>
    <w:p>
      <w:pPr>
        <w:numPr>
          <w:ilvl w:val="0"/>
          <w:numId w:val="1005"/>
        </w:numPr>
        <w:pStyle w:val="Compact"/>
      </w:pPr>
      <w:r>
        <w:t xml:space="preserve">☐ ConMon dashboard accessible in Sentinel (AU-6, SI-4 evidence)</w:t>
      </w:r>
    </w:p>
    <w:p>
      <w:pPr>
        <w:numPr>
          <w:ilvl w:val="0"/>
          <w:numId w:val="1005"/>
        </w:numPr>
        <w:pStyle w:val="Compact"/>
      </w:pPr>
      <w:r>
        <w:t xml:space="preserve">☐ Contingency plan tabletop conducted within the last 12 months (CP-3)</w:t>
      </w:r>
    </w:p>
    <w:p>
      <w:pPr>
        <w:numPr>
          <w:ilvl w:val="0"/>
          <w:numId w:val="1005"/>
        </w:numPr>
        <w:pStyle w:val="Compact"/>
      </w:pPr>
      <w:r>
        <w:t xml:space="preserve">☐ IR drill conducted within the last 6 months (IR-2)</w:t>
      </w:r>
    </w:p>
    <w:p>
      <w:pPr>
        <w:numPr>
          <w:ilvl w:val="0"/>
          <w:numId w:val="1005"/>
        </w:numPr>
        <w:pStyle w:val="Compact"/>
      </w:pPr>
      <w:r>
        <w:t xml:space="preserve">☐ PM-14 T&amp;T&amp;M plan current and signed by ISSM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bod-26-04-vdrver-submission-sr-11-sa-15"/>
    <w:p>
      <w:pPr>
        <w:pStyle w:val="Heading1"/>
      </w:pPr>
      <w:r>
        <w:t xml:space="preserve">5 BOD 26-04 VDR/VER Submission (SR-11, SA-15)</w:t>
      </w:r>
    </w:p>
    <w:bookmarkStart w:id="47" w:name="bod-26-04-overview"/>
    <w:p>
      <w:pPr>
        <w:pStyle w:val="Heading2"/>
      </w:pPr>
      <w:r>
        <w:t xml:space="preserve">5.1 BOD 26-04 Overview</w:t>
      </w:r>
    </w:p>
    <w:p>
      <w:pPr>
        <w:pStyle w:val="FirstParagraph"/>
      </w:pPr>
      <w:r>
        <w:t xml:space="preserve">Binding Operational Directive 26-04 requires all federal agencies to: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Maintain an SBOM</w:t>
      </w:r>
      <w:r>
        <w:t xml:space="preserve"> </w:t>
      </w:r>
      <w:r>
        <w:t xml:space="preserve">for all software in production by December 7, 2026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File a Vulnerability Disclosure Report (VDR)</w:t>
      </w:r>
      <w:r>
        <w:t xml:space="preserve"> </w:t>
      </w:r>
      <w:r>
        <w:t xml:space="preserve">for each SBOM component with known CVEs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File a Vulnerability Exploitability Report (VER)</w:t>
      </w:r>
      <w:r>
        <w:t xml:space="preserve"> </w:t>
      </w:r>
      <w:r>
        <w:t xml:space="preserve">(OpenVEX) for each CVE above CVSS 7.0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Demonstrate continuous SBOM monitoring</w:t>
      </w:r>
      <w:r>
        <w:t xml:space="preserve"> </w:t>
      </w:r>
      <w:r>
        <w:t xml:space="preserve">via an automated pipeline</w:t>
      </w:r>
    </w:p>
    <w:p>
      <w:pPr>
        <w:pStyle w:val="FirstParagraph"/>
      </w:pPr>
      <w:r>
        <w:t xml:space="preserve">Part 12 of this series established the VDR/VER framework. This section</w:t>
      </w:r>
      <w:r>
        <w:t xml:space="preserve"> </w:t>
      </w:r>
      <w:r>
        <w:t xml:space="preserve">documents the submission procedure.</w:t>
      </w:r>
    </w:p>
    <w:bookmarkEnd w:id="47"/>
    <w:bookmarkStart w:id="50" w:name="sbom-artifact-chain"/>
    <w:p>
      <w:pPr>
        <w:pStyle w:val="Heading2"/>
      </w:pPr>
      <w:r>
        <w:t xml:space="preserve">5.2 SBOM Artifact Chain</w:t>
      </w:r>
    </w:p>
    <w:p>
      <w:pPr>
        <w:pStyle w:val="FirstParagraph"/>
      </w:pPr>
      <w:r>
        <w:t xml:space="preserve">The SBOM pipeline (from Part 12) produces a chain of machine-readable artifacts:</w:t>
      </w:r>
    </w:p>
    <w:p>
      <w:pPr>
        <w:pStyle w:val="SourceCode"/>
      </w:pPr>
      <w:r>
        <w:rPr>
          <w:rStyle w:val="VerbatimChar"/>
        </w:rPr>
        <w:t xml:space="preserve">1. Syft scan → CycloneDX 1.6 JSON (component inventory)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2. Grype scan → Vulnerability findings against NVD + CISA KEV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3. OpenVEX statements → VEX analysis (exploitability assessment)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4. VDR submission package → CISA VEX Portal or email submission</w:t>
      </w:r>
    </w:p>
    <w:bookmarkStart w:id="48" w:name="running-the-sbom-pipeline"/>
    <w:p>
      <w:pPr>
        <w:pStyle w:val="Heading3"/>
      </w:pPr>
      <w:r>
        <w:t xml:space="preserve">5.2.1 Running the SBOM Pipeline</w:t>
      </w:r>
    </w:p>
    <w:p>
      <w:pPr>
        <w:pStyle w:val="SourceCode"/>
      </w:pPr>
      <w:r>
        <w:rPr>
          <w:rStyle w:val="CommentTok"/>
        </w:rPr>
        <w:t xml:space="preserve"># Step 1: Generate SBOM (run against each production container/package)</w:t>
      </w:r>
      <w:r>
        <w:br/>
      </w:r>
      <w:r>
        <w:rPr>
          <w:rStyle w:val="ExtensionTok"/>
        </w:rPr>
        <w:t xml:space="preserve">syft</w:t>
      </w:r>
      <w:r>
        <w:rPr>
          <w:rStyle w:val="NormalTok"/>
        </w:rPr>
        <w:t xml:space="preserve"> packages .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cyclonedx-json=sbom-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Step 2: Scan for vulnerabilities</w:t>
      </w:r>
      <w:r>
        <w:br/>
      </w:r>
      <w:r>
        <w:rPr>
          <w:rStyle w:val="ExtensionTok"/>
        </w:rPr>
        <w:t xml:space="preserve">grype</w:t>
      </w:r>
      <w:r>
        <w:rPr>
          <w:rStyle w:val="NormalTok"/>
        </w:rPr>
        <w:t xml:space="preserve"> sbom:sbom-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vuln-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Step 3: Generate VEX statements for High/Critical CVEs</w:t>
      </w:r>
      <w:r>
        <w:br/>
      </w:r>
      <w:r>
        <w:rPr>
          <w:rStyle w:val="CommentTok"/>
        </w:rPr>
        <w:t xml:space="preserve"># For each CVE with CVSS &gt;= 7.0, create an OpenVEX statement:</w:t>
      </w:r>
      <w:r>
        <w:br/>
      </w:r>
      <w:r>
        <w:rPr>
          <w:rStyle w:val="ExtensionTok"/>
        </w:rPr>
        <w:t xml:space="preserve">vexctl</w:t>
      </w:r>
      <w:r>
        <w:rPr>
          <w:rStyle w:val="NormalTok"/>
        </w:rPr>
        <w:t xml:space="preserve">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--author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"SSA Cloud Services Team"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--product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"pkg:docker/ssa-gcc-moderate@1.0.0"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--vuln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"CVE-YYYY-NNNNN"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--status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"affected"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--justification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"component_not_present"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sbom-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</w:p>
    <w:bookmarkEnd w:id="48"/>
    <w:bookmarkStart w:id="49" w:name="submission-to-cisa"/>
    <w:p>
      <w:pPr>
        <w:pStyle w:val="Heading3"/>
      </w:pPr>
      <w:r>
        <w:t xml:space="preserve">5.2.2 Submission to CISA</w:t>
      </w:r>
    </w:p>
    <w:p>
      <w:pPr>
        <w:pStyle w:val="FirstParagraph"/>
      </w:pPr>
      <w:r>
        <w:t xml:space="preserve">Per BOD 26-04, VDR/VER submissions go 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</w:t>
      </w:r>
      <w:r>
        <w:t xml:space="preserve">: sbom@cisa.dhs.gov (VDR + VEX package as ZIP attachment)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Subject line</w:t>
      </w:r>
      <w:r>
        <w:t xml:space="preserve">:</w:t>
      </w:r>
      <w:r>
        <w:t xml:space="preserve"> </w:t>
      </w:r>
      <w:r>
        <w:rPr>
          <w:rStyle w:val="VerbatimChar"/>
        </w:rPr>
        <w:t xml:space="preserve">[AGENCY] BOD-26-04 VDR Submission — [System Name] — [Date]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Format</w:t>
      </w:r>
      <w:r>
        <w:t xml:space="preserve">: CycloneDX 1.6 JSON for SBOM; OpenVEX JSON for VEX statements</w:t>
      </w:r>
    </w:p>
    <w:p>
      <w:pPr>
        <w:pStyle w:val="BodyText"/>
      </w:pPr>
      <w:r>
        <w:t xml:space="preserve">The Part 12</w:t>
      </w:r>
      <w:r>
        <w:t xml:space="preserve"> </w:t>
      </w:r>
      <w:r>
        <w:rPr>
          <w:rStyle w:val="VerbatimChar"/>
        </w:rPr>
        <w:t xml:space="preserve">vdr-submission-record.json</w:t>
      </w:r>
      <w:r>
        <w:t xml:space="preserve"> </w:t>
      </w:r>
      <w:r>
        <w:t xml:space="preserve">schema generates the cover document</w:t>
      </w:r>
      <w:r>
        <w:t xml:space="preserve"> </w:t>
      </w:r>
      <w:r>
        <w:t xml:space="preserve">automatically from the Syft/Grype pipeline output.</w:t>
      </w:r>
    </w:p>
    <w:bookmarkEnd w:id="49"/>
    <w:bookmarkEnd w:id="50"/>
    <w:bookmarkStart w:id="51" w:name="at-4-evidence-contract-submission"/>
    <w:p>
      <w:pPr>
        <w:pStyle w:val="Heading2"/>
      </w:pPr>
      <w:r>
        <w:t xml:space="preserve">5.3 AT-4 Evidence Contract Submission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governance.training-effectiveness-record</w:t>
      </w:r>
      <w:r>
        <w:t xml:space="preserve"> </w:t>
      </w:r>
      <w:r>
        <w:t xml:space="preserve">(KSI-022 evidence) must be</w:t>
      </w:r>
      <w:r>
        <w:t xml:space="preserve"> </w:t>
      </w:r>
      <w:r>
        <w:t xml:space="preserve">current at time of ATO package submission:</w:t>
      </w:r>
    </w:p>
    <w:p>
      <w:pPr>
        <w:pStyle w:val="SourceCode"/>
      </w:pPr>
      <w:r>
        <w:rPr>
          <w:rStyle w:val="CommentTok"/>
        </w:rPr>
        <w:t xml:space="preserve"># Verify training record is current (exported from Viva Learning Graph API)</w:t>
      </w:r>
      <w:r>
        <w:br/>
      </w:r>
      <w:r>
        <w:rPr>
          <w:rStyle w:val="CommentTok"/>
        </w:rPr>
        <w:t xml:space="preserve"># Record must show: overall_completion_pct &gt;= 95.0, snapshot_date within 12 months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record = json.load(open('governance.training-effectiveness-record.json'))</w:t>
      </w:r>
      <w:r>
        <w:br/>
      </w:r>
      <w:r>
        <w:rPr>
          <w:rStyle w:val="StringTok"/>
        </w:rPr>
        <w:t xml:space="preserve">assert record['overall_completion_pct'] &gt;= 95.0, 'Training completion below threshold'</w:t>
      </w:r>
      <w:r>
        <w:br/>
      </w:r>
      <w:r>
        <w:rPr>
          <w:rStyle w:val="StringTok"/>
        </w:rPr>
        <w:t xml:space="preserve">assert all(</w:t>
      </w:r>
      <w:r>
        <w:br/>
      </w:r>
      <w:r>
        <w:rPr>
          <w:rStyle w:val="StringTok"/>
        </w:rPr>
        <w:t xml:space="preserve">    t['tier_completion_pct'] &gt;= 95.0 for t in record['role_tiers']</w:t>
      </w:r>
      <w:r>
        <w:br/>
      </w:r>
      <w:r>
        <w:rPr>
          <w:rStyle w:val="StringTok"/>
        </w:rPr>
        <w:t xml:space="preserve">), 'One or more role tiers below threshold'</w:t>
      </w:r>
      <w:r>
        <w:br/>
      </w:r>
      <w:r>
        <w:rPr>
          <w:rStyle w:val="StringTok"/>
        </w:rPr>
        <w:t xml:space="preserve">print('Training record: PASS')</w:t>
      </w:r>
      <w:r>
        <w:br/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2baad120c625cca5affb3af3072f4904f2c9188"/>
    <w:p>
      <w:pPr>
        <w:pStyle w:val="Heading1"/>
      </w:pPr>
      <w:r>
        <w:t xml:space="preserve">6 Post-Authorization ConMon Architecture (CA-7, SA-15)</w:t>
      </w:r>
    </w:p>
    <w:bookmarkStart w:id="53" w:name="conmon-data-flow"/>
    <w:p>
      <w:pPr>
        <w:pStyle w:val="Heading2"/>
      </w:pPr>
      <w:r>
        <w:t xml:space="preserve">6.1 ConMon Data Flow</w:t>
      </w:r>
    </w:p>
    <w:p>
      <w:pPr>
        <w:pStyle w:val="FirstParagraph"/>
      </w:pPr>
      <w:r>
        <w:t xml:space="preserve">After ATO is granted, the ConMon program feeds back into the UIAO governance</w:t>
      </w:r>
      <w:r>
        <w:t xml:space="preserve"> </w:t>
      </w:r>
      <w:r>
        <w:t xml:space="preserve">substrate on a recurring basis:</w:t>
      </w:r>
    </w:p>
    <w:p>
      <w:pPr>
        <w:pStyle w:val="SourceCode"/>
      </w:pPr>
      <w:r>
        <w:rPr>
          <w:rStyle w:val="VerbatimChar"/>
        </w:rPr>
        <w:t xml:space="preserve">[M365 ScuBA Assessment]</w:t>
      </w:r>
      <w:r>
        <w:br/>
      </w:r>
      <w:r>
        <w:rPr>
          <w:rStyle w:val="VerbatimChar"/>
        </w:rPr>
        <w:t xml:space="preserve">         ↓ monthly</w:t>
      </w:r>
      <w:r>
        <w:br/>
      </w:r>
      <w:r>
        <w:rPr>
          <w:rStyle w:val="VerbatimChar"/>
        </w:rPr>
        <w:t xml:space="preserve">[uiao adapter-run-scuba]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[UIAO Governance Substrate] ←—— [AAN Slot Evidence YAMLs]</w:t>
      </w:r>
      <w:r>
        <w:br/>
      </w:r>
      <w:r>
        <w:rPr>
          <w:rStyle w:val="VerbatimChar"/>
        </w:rPr>
        <w:t xml:space="preserve">         ↓                                   ↑</w:t>
      </w:r>
      <w:r>
        <w:br/>
      </w:r>
      <w:r>
        <w:rPr>
          <w:rStyle w:val="VerbatimChar"/>
        </w:rPr>
        <w:t xml:space="preserve">[uiao oscal bundle]            [Slot confidence upgrades</w:t>
      </w:r>
      <w:r>
        <w:br/>
      </w:r>
      <w:r>
        <w:rPr>
          <w:rStyle w:val="VerbatimChar"/>
        </w:rPr>
        <w:t xml:space="preserve">         ↓                      when new evidence artifacts</w:t>
      </w:r>
      <w:r>
        <w:br/>
      </w:r>
      <w:r>
        <w:rPr>
          <w:rStyle w:val="VerbatimChar"/>
        </w:rPr>
        <w:t xml:space="preserve">[ksi-ar.json]                   are produced or confidence</w:t>
      </w:r>
      <w:r>
        <w:br/>
      </w:r>
      <w:r>
        <w:rPr>
          <w:rStyle w:val="VerbatimChar"/>
        </w:rPr>
        <w:t xml:space="preserve">         ↓                      changes]</w:t>
      </w:r>
      <w:r>
        <w:br/>
      </w:r>
      <w:r>
        <w:rPr>
          <w:rStyle w:val="VerbatimChar"/>
        </w:rPr>
        <w:t xml:space="preserve">[POA&amp;M auto-populated]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[Sentinel ConMon Dashboard] ——→ [AO Monthly Brief]</w:t>
      </w:r>
    </w:p>
    <w:bookmarkEnd w:id="53"/>
    <w:bookmarkStart w:id="54" w:name="evidence-freshness-rules"/>
    <w:p>
      <w:pPr>
        <w:pStyle w:val="Heading2"/>
      </w:pPr>
      <w:r>
        <w:t xml:space="preserve">6.2 Evidence Freshness Rules</w:t>
      </w:r>
    </w:p>
    <w:p>
      <w:pPr>
        <w:pStyle w:val="FirstParagraph"/>
      </w:pPr>
      <w:r>
        <w:t xml:space="preserve">Each evidence slot has a freshness requirement. The ConMon program must ensure:</w:t>
      </w:r>
    </w:p>
    <w:p>
      <w:pPr>
        <w:pStyle w:val="TableCaption"/>
      </w:pPr>
      <w:r>
        <w:t xml:space="preserve">Evidence Freshness Requirements by Slot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Evidence Freshness Requirements by Slot {.striped .hover}"/>
      </w:tblPr>
      <w:tblGrid>
        <w:gridCol w:w="1320"/>
        <w:gridCol w:w="506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Freshness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slot-01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 Conditional Access policies reviewed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IAM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slot-02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Purview DLP policy and CMK rotation reviewed 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slot-03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SD-WAN configuration baseline reviewed semi-annually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slot-04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detection rules reviewed quarterly; log retention confirmed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slot-05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VM findings reviewed weekly; PAW review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slot-06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regenerated monthly; VDR/VER current (BOD 26-04)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slot-07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CP-3 tabletop annually; CP-4 test annually; CP-2 plan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slot-08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 completion records exported monthly; overall 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/ Training</w:t>
            </w:r>
          </w:p>
        </w:tc>
      </w:tr>
    </w:tbl>
    <w:bookmarkEnd w:id="54"/>
    <w:bookmarkStart w:id="55" w:name="sentinel-conmon-dashboard"/>
    <w:p>
      <w:pPr>
        <w:pStyle w:val="Heading2"/>
      </w:pPr>
      <w:r>
        <w:t xml:space="preserve">6.3 Sentinel ConMon Dashboard</w:t>
      </w:r>
    </w:p>
    <w:p>
      <w:pPr>
        <w:pStyle w:val="FirstParagraph"/>
      </w:pPr>
      <w:r>
        <w:t xml:space="preserve">Part 10 established the Sentinel XDR platform as the operational ConMon</w:t>
      </w:r>
      <w:r>
        <w:t xml:space="preserve"> </w:t>
      </w:r>
      <w:r>
        <w:t xml:space="preserve">dashboard. The following workbooks are required for CA-7(3) trend analysis: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KSI Status Workbook</w:t>
      </w:r>
      <w:r>
        <w:t xml:space="preserve"> </w:t>
      </w:r>
      <w:r>
        <w:t xml:space="preserve">— maps each of the 29 KSIs to their current evidence</w:t>
      </w:r>
      <w:r>
        <w:t xml:space="preserve"> </w:t>
      </w:r>
      <w:r>
        <w:t xml:space="preserve">state (green/amber/red based on slot binding confidence and AR verdict)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Control Drift Workbook</w:t>
      </w:r>
      <w:r>
        <w:t xml:space="preserve"> </w:t>
      </w:r>
      <w:r>
        <w:t xml:space="preserve">— tracks changes in ScuBA findings (M365 config</w:t>
      </w:r>
      <w:r>
        <w:t xml:space="preserve"> </w:t>
      </w:r>
      <w:r>
        <w:t xml:space="preserve">drift that could affect KSI-001..010 verdicts)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Vulnerability Backlog Workbook</w:t>
      </w:r>
      <w:r>
        <w:t xml:space="preserve"> </w:t>
      </w:r>
      <w:r>
        <w:t xml:space="preserve">— RA-5 KEV hits, CVSS scores, BOD 26-04</w:t>
      </w:r>
      <w:r>
        <w:t xml:space="preserve"> </w:t>
      </w:r>
      <w:r>
        <w:t xml:space="preserve">status per component in the SBOM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Training Coverage Workbook</w:t>
      </w:r>
      <w:r>
        <w:t xml:space="preserve"> </w:t>
      </w:r>
      <w:r>
        <w:t xml:space="preserve">— AT-4 completion rate trend by role tier</w:t>
      </w:r>
    </w:p>
    <w:bookmarkEnd w:id="55"/>
    <w:bookmarkStart w:id="56" w:name="roles-and-responsibilities-ca-71"/>
    <w:p>
      <w:pPr>
        <w:pStyle w:val="Heading2"/>
      </w:pPr>
      <w:r>
        <w:t xml:space="preserve">6.4 Roles and Responsibilities (CA-7(1))</w:t>
      </w:r>
    </w:p>
    <w:p>
      <w:pPr>
        <w:pStyle w:val="TableCaption"/>
      </w:pPr>
      <w:r>
        <w:t xml:space="preserve">ConMon RACI — Key Roles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onMon RACI — Key Roles {.striped .hover}"/>
      </w:tblPr>
      <w:tblGrid>
        <w:gridCol w:w="1760"/>
        <w:gridCol w:w="6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CA-7 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Authorizing Official (AO)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monthly AR; accepts or escalates open risks; approves ATO renewal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monthly</w:t>
            </w:r>
            <w:r>
              <w:t xml:space="preserve"> </w:t>
            </w:r>
            <w:r>
              <w:rPr>
                <w:rStyle w:val="VerbatimChar"/>
              </w:rPr>
              <w:t xml:space="preserve">uiao oscal bundle</w:t>
            </w:r>
            <w:r>
              <w:t xml:space="preserve">; reviews Sentinel dashboard; owns POA&amp;M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Chairs quarterly KSI review; escalates trend anomalies to 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Sentinel workbooks; conducts IR drills; owns detection rule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 / 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SBOM pipeline; files VDR/VER; owns BOD 26-04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 / Training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monthly LMS records; ensures overall_completion_pct ≥ 95%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0" w:name="risk-assessment-integration-ra-3"/>
    <w:p>
      <w:pPr>
        <w:pStyle w:val="Heading1"/>
      </w:pPr>
      <w:r>
        <w:t xml:space="preserve">7 Risk Assessment Integration (RA-3)</w:t>
      </w:r>
    </w:p>
    <w:bookmarkStart w:id="58" w:name="risk-register-structure"/>
    <w:p>
      <w:pPr>
        <w:pStyle w:val="Heading2"/>
      </w:pPr>
      <w:r>
        <w:t xml:space="preserve">7.1 Risk Register Structure</w:t>
      </w:r>
    </w:p>
    <w:p>
      <w:pPr>
        <w:pStyle w:val="FirstParagraph"/>
      </w:pPr>
      <w:r>
        <w:t xml:space="preserve">The OSCAL AR’s risk entries feed directly into the organizational risk register</w:t>
      </w:r>
      <w:r>
        <w:t xml:space="preserve"> </w:t>
      </w:r>
      <w:r>
        <w:t xml:space="preserve">(PM-9, established in Part 13). The risk structure follows OSCAL 1.0.4: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OSCAL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Register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item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closed / 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risk.characterizations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CVSS-derived severity; KSI theme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risk.mitigating-factors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Compensating controls from AAN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risk.remediation-tracking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 26-04 milestones or training milestones</w:t>
            </w:r>
          </w:p>
        </w:tc>
      </w:tr>
    </w:tbl>
    <w:p>
      <w:pPr>
        <w:pStyle w:val="BodyText"/>
      </w:pPr>
      <w:r>
        <w:t xml:space="preserve">When the AR contains zero open risks (current state), the risk register entry</w:t>
      </w:r>
      <w:r>
        <w:t xml:space="preserve"> </w:t>
      </w:r>
      <w:r>
        <w:t xml:space="preserve">for KSI controls reads:</w:t>
      </w:r>
      <w:r>
        <w:t xml:space="preserve"> </w:t>
      </w:r>
      <w:r>
        <w:t xml:space="preserve">“</w:t>
      </w:r>
      <w:r>
        <w:t xml:space="preserve">All 29 KSI controls satisfied — no residual risk</w:t>
      </w:r>
      <w:r>
        <w:t xml:space="preserve"> </w:t>
      </w:r>
      <w:r>
        <w:t xml:space="preserve">from the KSI evaluation.</w:t>
      </w:r>
      <w:r>
        <w:t xml:space="preserve">”</w:t>
      </w:r>
      <w:r>
        <w:t xml:space="preserve"> </w:t>
      </w:r>
      <w:r>
        <w:t xml:space="preserve">This does not eliminate enterprise risk; it</w:t>
      </w:r>
      <w:r>
        <w:t xml:space="preserve"> </w:t>
      </w:r>
      <w:r>
        <w:t xml:space="preserve">eliminates KSI-specific compliance risk.</w:t>
      </w:r>
    </w:p>
    <w:bookmarkEnd w:id="58"/>
    <w:bookmarkStart w:id="59" w:name="X8d10a249fbdba0d990b4e3f6ae9964964ca46d1"/>
    <w:p>
      <w:pPr>
        <w:pStyle w:val="Heading2"/>
      </w:pPr>
      <w:r>
        <w:t xml:space="preserve">7.2 Residual Risks Not Covered by KSI Evaluation</w:t>
      </w:r>
    </w:p>
    <w:p>
      <w:pPr>
        <w:pStyle w:val="FirstParagraph"/>
      </w:pPr>
      <w:r>
        <w:t xml:space="preserve">The KSI evaluation covers FedRAMP 20x Consolidated Rules. The following</w:t>
      </w:r>
      <w:r>
        <w:t xml:space="preserve"> </w:t>
      </w:r>
      <w:r>
        <w:t xml:space="preserve">risk categories are outside KSI scope and must be managed separately: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Mission risk</w:t>
      </w:r>
      <w:r>
        <w:t xml:space="preserve"> </w:t>
      </w:r>
      <w:r>
        <w:t xml:space="preserve">— impact to SSA service delivery from system failure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Insider threat</w:t>
      </w:r>
      <w:r>
        <w:t xml:space="preserve"> </w:t>
      </w:r>
      <w:r>
        <w:t xml:space="preserve">— behavioral analytics (KSI-001..010 cover technical</w:t>
      </w:r>
      <w:r>
        <w:t xml:space="preserve"> </w:t>
      </w:r>
      <w:r>
        <w:t xml:space="preserve">controls; insider threat requires HR and behavioral monitoring programs)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Physical security</w:t>
      </w:r>
      <w:r>
        <w:t xml:space="preserve"> </w:t>
      </w:r>
      <w:r>
        <w:t xml:space="preserve">— AC-18/19, PE family (not in scope for cloud boundary)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Supply chain geopolitical risk</w:t>
      </w:r>
      <w:r>
        <w:t xml:space="preserve"> </w:t>
      </w:r>
      <w:r>
        <w:t xml:space="preserve">— beyond BOD 26-04 SBOM/VDR/VER scope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authorization-package-assembly-checklist"/>
    <w:p>
      <w:pPr>
        <w:pStyle w:val="Heading1"/>
      </w:pPr>
      <w:r>
        <w:t xml:space="preserve">8 Authorization Package Assembly Checklist</w:t>
      </w:r>
    </w:p>
    <w:p>
      <w:pPr>
        <w:pStyle w:val="FirstParagraph"/>
      </w:pPr>
      <w:r>
        <w:t xml:space="preserve">The following checklist operationalizes the authorization package assembly.</w:t>
      </w:r>
      <w:r>
        <w:t xml:space="preserve"> </w:t>
      </w:r>
      <w:r>
        <w:t xml:space="preserve">Complete in order before the November 2026 submission window.</w:t>
      </w:r>
    </w:p>
    <w:bookmarkStart w:id="61" w:name="pre-submission-checklist"/>
    <w:p>
      <w:pPr>
        <w:pStyle w:val="Heading2"/>
      </w:pPr>
      <w:r>
        <w:t xml:space="preserve">8.1 Pre-Submission Checklist</w:t>
      </w:r>
    </w:p>
    <w:p>
      <w:pPr>
        <w:pStyle w:val="FirstParagraph"/>
      </w:pPr>
      <w:r>
        <w:rPr>
          <w:bCs/>
          <w:b/>
        </w:rPr>
        <w:t xml:space="preserve">OSCAL Bundle (CA-2, CA-5):</w:t>
      </w:r>
    </w:p>
    <w:p>
      <w:pPr>
        <w:numPr>
          <w:ilvl w:val="0"/>
          <w:numId w:val="1009"/>
        </w:numPr>
        <w:pStyle w:val="Compact"/>
      </w:pPr>
      <w:r>
        <w:t xml:space="preserve">☐ Run</w:t>
      </w:r>
      <w:r>
        <w:t xml:space="preserve"> </w:t>
      </w:r>
      <w:r>
        <w:rPr>
          <w:rStyle w:val="VerbatimChar"/>
        </w:rPr>
        <w:t xml:space="preserve">uiao oscal bundle --system-name "SSA GCC Moderate"</w:t>
      </w:r>
      <w:r>
        <w:t xml:space="preserve"> </w:t>
      </w:r>
      <w:r>
        <w:t xml:space="preserve">and confirm 29/29 satisfied</w:t>
      </w:r>
    </w:p>
    <w:p>
      <w:pPr>
        <w:numPr>
          <w:ilvl w:val="0"/>
          <w:numId w:val="1009"/>
        </w:numPr>
        <w:pStyle w:val="Compact"/>
      </w:pPr>
      <w:r>
        <w:t xml:space="preserve">☐ Confirm POA&amp;M has zero open items</w:t>
      </w:r>
    </w:p>
    <w:p>
      <w:pPr>
        <w:numPr>
          <w:ilvl w:val="0"/>
          <w:numId w:val="1009"/>
        </w:numPr>
        <w:pStyle w:val="Compact"/>
      </w:pPr>
      <w:r>
        <w:t xml:space="preserve">☐ Archive bundle with timestamp to</w:t>
      </w:r>
      <w:r>
        <w:t xml:space="preserve"> </w:t>
      </w:r>
      <w:r>
        <w:rPr>
          <w:rStyle w:val="VerbatimChar"/>
        </w:rPr>
        <w:t xml:space="preserve">output/artifacts/ksi-bundle/history/YYYYMM/</w:t>
      </w:r>
    </w:p>
    <w:p>
      <w:pPr>
        <w:numPr>
          <w:ilvl w:val="0"/>
          <w:numId w:val="1009"/>
        </w:numPr>
        <w:pStyle w:val="Compact"/>
      </w:pPr>
      <w:r>
        <w:t xml:space="preserve">☐ Submit bundle (AP + AR + POA&amp;M) to FedRAMP PMO via secure portal</w:t>
      </w:r>
    </w:p>
    <w:p>
      <w:pPr>
        <w:pStyle w:val="FirstParagraph"/>
      </w:pPr>
      <w:r>
        <w:rPr>
          <w:bCs/>
          <w:b/>
        </w:rPr>
        <w:t xml:space="preserve">Evidence Books (CA-2):</w:t>
      </w:r>
    </w:p>
    <w:p>
      <w:pPr>
        <w:numPr>
          <w:ilvl w:val="0"/>
          <w:numId w:val="1010"/>
        </w:numPr>
        <w:pStyle w:val="Compact"/>
      </w:pPr>
      <w:r>
        <w:t xml:space="preserve">☐ Confirm all 15 books compiled and available in</w:t>
      </w:r>
      <w:r>
        <w:t xml:space="preserve"> </w:t>
      </w:r>
      <w:r>
        <w:rPr>
          <w:rStyle w:val="VerbatimChar"/>
        </w:rPr>
        <w:t xml:space="preserve">inbox/Application Aware Networking/</w:t>
      </w:r>
    </w:p>
    <w:p>
      <w:pPr>
        <w:numPr>
          <w:ilvl w:val="0"/>
          <w:numId w:val="1010"/>
        </w:numPr>
        <w:pStyle w:val="Compact"/>
      </w:pPr>
      <w:r>
        <w:t xml:space="preserve">☐ Upload updated books to agency document management system</w:t>
      </w:r>
    </w:p>
    <w:p>
      <w:pPr>
        <w:numPr>
          <w:ilvl w:val="0"/>
          <w:numId w:val="1010"/>
        </w:numPr>
        <w:pStyle w:val="Compact"/>
      </w:pPr>
      <w:r>
        <w:t xml:space="preserve">☐ Create cross-reference index: book → NIST controls → KSI IDs</w:t>
      </w:r>
    </w:p>
    <w:p>
      <w:pPr>
        <w:pStyle w:val="FirstParagraph"/>
      </w:pPr>
      <w:r>
        <w:rPr>
          <w:bCs/>
          <w:b/>
        </w:rPr>
        <w:t xml:space="preserve">BOD 26-04 (SR-11):</w:t>
      </w:r>
    </w:p>
    <w:p>
      <w:pPr>
        <w:numPr>
          <w:ilvl w:val="0"/>
          <w:numId w:val="1011"/>
        </w:numPr>
        <w:pStyle w:val="Compact"/>
      </w:pPr>
      <w:r>
        <w:t xml:space="preserve">☐ Run SBOM pipeline: Syft scan → CycloneDX 1.6 JSON</w:t>
      </w:r>
    </w:p>
    <w:p>
      <w:pPr>
        <w:numPr>
          <w:ilvl w:val="0"/>
          <w:numId w:val="1011"/>
        </w:numPr>
        <w:pStyle w:val="Compact"/>
      </w:pPr>
      <w:r>
        <w:t xml:space="preserve">☐ Run Grype: vulnerability scan → VDR artifact</w:t>
      </w:r>
    </w:p>
    <w:p>
      <w:pPr>
        <w:numPr>
          <w:ilvl w:val="0"/>
          <w:numId w:val="1011"/>
        </w:numPr>
        <w:pStyle w:val="Compact"/>
      </w:pPr>
      <w:r>
        <w:t xml:space="preserve">☐ Draft VEX statements for all CVEs CVSS ≥ 7.0</w:t>
      </w:r>
    </w:p>
    <w:p>
      <w:pPr>
        <w:numPr>
          <w:ilvl w:val="0"/>
          <w:numId w:val="1011"/>
        </w:numPr>
        <w:pStyle w:val="Compact"/>
      </w:pPr>
      <w:r>
        <w:t xml:space="preserve">☐ Submit VDR/VER to CISA by</w:t>
      </w:r>
      <w:r>
        <w:t xml:space="preserve"> </w:t>
      </w:r>
      <w:r>
        <w:rPr>
          <w:bCs/>
          <w:b/>
        </w:rPr>
        <w:t xml:space="preserve">December 7, 2026</w:t>
      </w:r>
    </w:p>
    <w:p>
      <w:pPr>
        <w:numPr>
          <w:ilvl w:val="0"/>
          <w:numId w:val="1011"/>
        </w:numPr>
        <w:pStyle w:val="Compact"/>
      </w:pPr>
      <w:r>
        <w:t xml:space="preserve">☐ Retain submission confirmation as</w:t>
      </w:r>
      <w:r>
        <w:t xml:space="preserve"> </w:t>
      </w:r>
      <w:r>
        <w:rPr>
          <w:rStyle w:val="VerbatimChar"/>
        </w:rPr>
        <w:t xml:space="preserve">vdr-submission-record.json</w:t>
      </w:r>
    </w:p>
    <w:p>
      <w:pPr>
        <w:pStyle w:val="FirstParagraph"/>
      </w:pPr>
      <w:r>
        <w:rPr>
          <w:bCs/>
          <w:b/>
        </w:rPr>
        <w:t xml:space="preserve">Training (AT-4, KSI-022):</w:t>
      </w:r>
    </w:p>
    <w:p>
      <w:pPr>
        <w:numPr>
          <w:ilvl w:val="0"/>
          <w:numId w:val="1012"/>
        </w:numPr>
        <w:pStyle w:val="Compact"/>
      </w:pPr>
      <w:r>
        <w:t xml:space="preserve">☐ Export</w:t>
      </w:r>
      <w:r>
        <w:t xml:space="preserve"> </w:t>
      </w:r>
      <w:r>
        <w:rPr>
          <w:rStyle w:val="VerbatimChar"/>
        </w:rPr>
        <w:t xml:space="preserve">governance.training-effectiveness-record</w:t>
      </w:r>
      <w:r>
        <w:t xml:space="preserve"> </w:t>
      </w:r>
      <w:r>
        <w:t xml:space="preserve">from Viva Learning</w:t>
      </w:r>
    </w:p>
    <w:p>
      <w:pPr>
        <w:numPr>
          <w:ilvl w:val="0"/>
          <w:numId w:val="1012"/>
        </w:numPr>
        <w:pStyle w:val="Compact"/>
      </w:pPr>
      <w:r>
        <w:t xml:space="preserve">☐ Confirm</w:t>
      </w:r>
      <w:r>
        <w:t xml:space="preserve"> </w:t>
      </w:r>
      <w:r>
        <w:rPr>
          <w:rStyle w:val="VerbatimChar"/>
        </w:rPr>
        <w:t xml:space="preserve">overall_completion_pct &gt;= 95.0</w:t>
      </w:r>
    </w:p>
    <w:p>
      <w:pPr>
        <w:numPr>
          <w:ilvl w:val="0"/>
          <w:numId w:val="1012"/>
        </w:numPr>
        <w:pStyle w:val="Compact"/>
      </w:pPr>
      <w:r>
        <w:t xml:space="preserve">☐ Confirm all six</w:t>
      </w:r>
      <w:r>
        <w:t xml:space="preserve"> </w:t>
      </w:r>
      <w:r>
        <w:rPr>
          <w:rStyle w:val="VerbatimChar"/>
        </w:rPr>
        <w:t xml:space="preserve">role_tiers</w:t>
      </w:r>
      <w:r>
        <w:t xml:space="preserve"> </w:t>
      </w:r>
      <w:r>
        <w:t xml:space="preserve">present with</w:t>
      </w:r>
      <w:r>
        <w:t xml:space="preserve"> </w:t>
      </w:r>
      <w:r>
        <w:rPr>
          <w:rStyle w:val="VerbatimChar"/>
        </w:rPr>
        <w:t xml:space="preserve">tier_completion_pct &gt;= 95.0</w:t>
      </w:r>
    </w:p>
    <w:p>
      <w:pPr>
        <w:numPr>
          <w:ilvl w:val="0"/>
          <w:numId w:val="1012"/>
        </w:numPr>
        <w:pStyle w:val="Compact"/>
      </w:pPr>
      <w:r>
        <w:t xml:space="preserve">☐ Confirm</w:t>
      </w:r>
      <w:r>
        <w:t xml:space="preserve"> </w:t>
      </w:r>
      <w:r>
        <w:rPr>
          <w:rStyle w:val="VerbatimChar"/>
        </w:rPr>
        <w:t xml:space="preserve">cp3_tabletop_date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ir2_drill_date</w:t>
      </w:r>
      <w:r>
        <w:t xml:space="preserve"> </w:t>
      </w:r>
      <w:r>
        <w:t xml:space="preserve">within 12 months</w:t>
      </w:r>
    </w:p>
    <w:p>
      <w:pPr>
        <w:pStyle w:val="FirstParagraph"/>
      </w:pPr>
      <w:r>
        <w:rPr>
          <w:bCs/>
          <w:b/>
        </w:rPr>
        <w:t xml:space="preserve">ConMon Program (CA-7):</w:t>
      </w:r>
    </w:p>
    <w:p>
      <w:pPr>
        <w:numPr>
          <w:ilvl w:val="0"/>
          <w:numId w:val="1013"/>
        </w:numPr>
        <w:pStyle w:val="Compact"/>
      </w:pPr>
      <w:r>
        <w:t xml:space="preserve">☐ Sentinel ConMon dashboard active and accessible</w:t>
      </w:r>
    </w:p>
    <w:p>
      <w:pPr>
        <w:numPr>
          <w:ilvl w:val="0"/>
          <w:numId w:val="1013"/>
        </w:numPr>
        <w:pStyle w:val="Compact"/>
      </w:pPr>
      <w:r>
        <w:t xml:space="preserve">☐ Monthly AR automation configured (Azure Logic App or scheduled task)</w:t>
      </w:r>
    </w:p>
    <w:p>
      <w:pPr>
        <w:numPr>
          <w:ilvl w:val="0"/>
          <w:numId w:val="1013"/>
        </w:numPr>
        <w:pStyle w:val="Compact"/>
      </w:pPr>
      <w:r>
        <w:t xml:space="preserve">☐ Quarterly KSI review cadence documented in PM-14 T&amp;T&amp;M plan</w:t>
      </w:r>
    </w:p>
    <w:p>
      <w:pPr>
        <w:numPr>
          <w:ilvl w:val="0"/>
          <w:numId w:val="1013"/>
        </w:numPr>
        <w:pStyle w:val="Compact"/>
      </w:pPr>
      <w:r>
        <w:t xml:space="preserve">☐ ISSO designated and documented in PM-2 leadership RACI</w:t>
      </w:r>
    </w:p>
    <w:bookmarkEnd w:id="61"/>
    <w:bookmarkStart w:id="62" w:name="day-of-submission-procedure"/>
    <w:p>
      <w:pPr>
        <w:pStyle w:val="Heading2"/>
      </w:pPr>
      <w:r>
        <w:t xml:space="preserve">8.2 Day-of-Submission Procedure</w:t>
      </w:r>
    </w:p>
    <w:p>
      <w:pPr>
        <w:pStyle w:val="SourceCode"/>
      </w:pPr>
      <w:r>
        <w:rPr>
          <w:rStyle w:val="CommentTok"/>
        </w:rPr>
        <w:t xml:space="preserve"># 1. Generate final OSCAL bundle</w:t>
      </w:r>
      <w:r>
        <w:br/>
      </w:r>
      <w:r>
        <w:rPr>
          <w:rStyle w:val="ExtensionTok"/>
        </w:rPr>
        <w:t xml:space="preserve">uiau</w:t>
      </w:r>
      <w:r>
        <w:rPr>
          <w:rStyle w:val="NormalTok"/>
        </w:rPr>
        <w:t xml:space="preserve"> oscal bundle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--system-name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"SSA GCC Moderate"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--ssp-href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"#&lt;ssp-uuid-from-uiao-generate-ssp&gt;"</w:t>
      </w:r>
      <w:r>
        <w:br/>
      </w:r>
      <w:r>
        <w:br/>
      </w:r>
      <w:r>
        <w:rPr>
          <w:rStyle w:val="CommentTok"/>
        </w:rPr>
        <w:t xml:space="preserve"># 2. Archive with date stamp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output/artifacts/ksi-bundle/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output/artifacts/ksi-bundle/history/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# 3. Validate bundle structure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for name in ['ksi-ap.json', 'ksi-ar.json', 'ksi-poam.json']:</w:t>
      </w:r>
      <w:r>
        <w:br/>
      </w:r>
      <w:r>
        <w:rPr>
          <w:rStyle w:val="StringTok"/>
        </w:rPr>
        <w:t xml:space="preserve">    doc = json.load(open(f'output/artifacts/ksi-bundle/{name}'))</w:t>
      </w:r>
      <w:r>
        <w:br/>
      </w:r>
      <w:r>
        <w:rPr>
          <w:rStyle w:val="StringTok"/>
        </w:rPr>
        <w:t xml:space="preserve">    print(f'{name}: OK — {list(doc.keys())[0]}')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4. Package for submission (ZIP per FedRAMP PMO instructions)</w:t>
      </w:r>
      <w:r>
        <w:br/>
      </w:r>
      <w:r>
        <w:rPr>
          <w:rStyle w:val="FunctionTok"/>
        </w:rPr>
        <w:t xml:space="preserve">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ssa-gcc-moderate-fedramp20x-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output/artifacts/ksi-bundle/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inbox/Application\ Aware\ Networking/Book_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.docx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ontrols-closed-by-this-document"/>
    <w:p>
      <w:pPr>
        <w:pStyle w:val="Heading1"/>
      </w:pPr>
      <w:r>
        <w:t xml:space="preserve">9 Controls Closed by This Document</w:t>
      </w:r>
    </w:p>
    <w:p>
      <w:pPr>
        <w:pStyle w:val="TableCaption"/>
      </w:pPr>
      <w:r>
        <w:t xml:space="preserve">Controls Closed by Part 16 {.striped .hover}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ontrols Closed by Part 16 {.striped .hover}"/>
      </w:tblPr>
      <w:tblGrid>
        <w:gridCol w:w="2036"/>
        <w:gridCol w:w="1584"/>
        <w:gridCol w:w="4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AR (</w:t>
            </w:r>
            <w:r>
              <w:rPr>
                <w:rStyle w:val="VerbatimChar"/>
              </w:rPr>
              <w:t xml:space="preserve">ksi-ar.json</w:t>
            </w:r>
            <w:r>
              <w:t xml:space="preserve">) is the formal security assessment record for all 29 CR26 KSIs; generated by</w:t>
            </w:r>
            <w:r>
              <w:t xml:space="preserve"> </w:t>
            </w:r>
            <w:r>
              <w:rPr>
                <w:rStyle w:val="VerbatimChar"/>
              </w:rPr>
              <w:t xml:space="preserve">uiao oscal bundle</w:t>
            </w:r>
            <w:r>
              <w:t xml:space="preserve"> </w:t>
            </w:r>
            <w:r>
              <w:t xml:space="preserve">on a monthly 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of Action and 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POA&amp;M (</w:t>
            </w:r>
            <w:r>
              <w:rPr>
                <w:rStyle w:val="VerbatimChar"/>
              </w:rPr>
              <w:t xml:space="preserve">ksi-poam.json</w:t>
            </w:r>
            <w:r>
              <w:t xml:space="preserve">) is the formal POA&amp;M; auto-populated from AR findings; zero items in current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 package structure documented in §4; submission checklist in §8; AO review roles in 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  <w:r>
              <w:t xml:space="preserve"> </w:t>
            </w:r>
            <w:r>
              <w:rPr>
                <w:rStyle w:val="VerbatimChar"/>
              </w:rPr>
              <w:t xml:space="preserve">uiao oscal bundle</w:t>
            </w:r>
            <w:r>
              <w:t xml:space="preserve"> </w:t>
            </w:r>
            <w:r>
              <w:t xml:space="preserve">→ Sentinel dashboard; quarterly KSI trend review; evidence freshness rules per slot in 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CA-7(1)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FedRAMP PMO review of OSCAL AR constitutes the independent assessment; ScuBA assessment provides continuous independent M365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CA-7(3)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KSI Status Workbook; AR history archive in</w:t>
            </w:r>
            <w:r>
              <w:t xml:space="preserve"> </w:t>
            </w:r>
            <w:r>
              <w:rPr>
                <w:rStyle w:val="VerbatimChar"/>
              </w:rPr>
              <w:t xml:space="preserve">output/artifacts/ksi-bundle/history/</w:t>
            </w:r>
            <w:r>
              <w:t xml:space="preserve">; quarterly trend briefing to 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AR risk entries feed PM-9 risk register; residual risk taxonomy in §7.2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Process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ADR-111 (slot evaluator), ADR-061 (AAN origin), ADR-093 (diagram pipeline) document the development process used to build the evidence pipeline;</w:t>
            </w:r>
            <w:r>
              <w:t xml:space="preserve"> </w:t>
            </w:r>
            <w:r>
              <w:rPr>
                <w:rStyle w:val="VerbatimChar"/>
              </w:rPr>
              <w:t xml:space="preserve">uiao</w:t>
            </w:r>
            <w:r>
              <w:t xml:space="preserve"> </w:t>
            </w:r>
            <w:r>
              <w:t xml:space="preserve">CI/CD (ruff, mypy, pytest 4768 tests) is the SA-15 toolchain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appendix-a-oscal-ar-findings-summary"/>
    <w:p>
      <w:pPr>
        <w:pStyle w:val="Heading1"/>
      </w:pPr>
      <w:r>
        <w:t xml:space="preserve">Appendix A — OSCAL AR Findings Summary</w:t>
      </w:r>
    </w:p>
    <w:p>
      <w:pPr>
        <w:pStyle w:val="FirstParagraph"/>
      </w:pPr>
      <w:r>
        <w:t xml:space="preserve">The following table summarizes the 29 KSI findings from the July 4, 2026 bundle</w:t>
      </w:r>
      <w:r>
        <w:t xml:space="preserve"> </w:t>
      </w:r>
      <w:r>
        <w:t xml:space="preserve">run (self-assessment). All 29 are evaluated as satisfied pending 3PAO validation.</w:t>
      </w:r>
    </w:p>
    <w:p>
      <w:pPr>
        <w:pStyle w:val="TableCaption"/>
      </w:pPr>
      <w:r>
        <w:t xml:space="preserve">KSI Findings Summary — July 4, 2026 Bundle Run {.striped .hover}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KSI Findings Summary — July 4, 2026 Bundle Run {.striped .hover}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KSI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CR26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KSI-IAM-MFA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(M365-ACCT-001)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KSI-IAM-LAB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(M365-AUTH-002)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KSI-IAM-PAC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(M365-PRIV-003)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KSI-SVC-EFR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(M365-EXO-004)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KSI-MLA-MAU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(M365-EXO-005)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KSI-MLA-ESH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(M365-SPO-006)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KSI-SVC-SLP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(M365-ATP-007)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KSI-SVC-VCM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(M365-ATP-008)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KSI-IAM-CAP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(M365-CA-009)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KSI-MLA-DLP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 (M365-DLP-010)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KSI-CMT-LMC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high (Part 12/13)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KSI-CMT-RMV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KSI-CMT-RVP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KSI-CMT-VTD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KSI-SCR-MIT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KSI-SCR-MON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slot-06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KSI-PIY-GIV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KSI-PIY-RES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KSI-PIY-RIS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KSI-PIY-RSD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KSI-PIY-RVD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slot-05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KSI-CED-RAT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slot-08 high (Part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KSI-INR-IRR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KSI-INR-MLE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slot-04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KSI-INR-NTA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slot-04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KSI-RPL-BCP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KSI-RPL-BCT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KSI-RPL-DRP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KSI-029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KSI-RPL-DRT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slot-07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satisfied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an internal UIAO working artifact. It does not constitute an</w:t>
      </w:r>
      <w:r>
        <w:rPr>
          <w:iCs/>
          <w:i/>
        </w:rPr>
        <w:t xml:space="preserve"> </w:t>
      </w:r>
      <w:r>
        <w:rPr>
          <w:iCs/>
          <w:i/>
        </w:rPr>
        <w:t xml:space="preserve">authorization package or official assessment. All control closure claims are</w:t>
      </w:r>
      <w:r>
        <w:rPr>
          <w:iCs/>
          <w:i/>
        </w:rPr>
        <w:t xml:space="preserve"> </w:t>
      </w:r>
      <w:r>
        <w:rPr>
          <w:iCs/>
          <w:i/>
        </w:rPr>
        <w:t xml:space="preserve">advisory pending formal ATO review by the FedRAMP Project Management Office and</w:t>
      </w:r>
      <w:r>
        <w:rPr>
          <w:iCs/>
          <w:i/>
        </w:rPr>
        <w:t xml:space="preserve"> </w:t>
      </w:r>
      <w:r>
        <w:rPr>
          <w:iCs/>
          <w:i/>
        </w:rPr>
        <w:t xml:space="preserve">the Agency Authorizing Official.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16 — Federal Application-Aware Networking — Part 16</dc:title>
  <dc:creator>SSA Cloud Services Team</dc:creator>
  <cp:keywords/>
  <dcterms:created xsi:type="dcterms:W3CDTF">2026-07-05T18:40:02Z</dcterms:created>
  <dcterms:modified xsi:type="dcterms:W3CDTF">2026-07-05T18:40:02Z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 — NOT FOR PUBLIC DISTRIBUTION</vt:lpwstr>
  </property>
  <property fmtid="{D5CDD505-2E9C-101B-9397-08002B2CF9AE}" pid="3" name="date">
    <vt:lpwstr>July 4, 2026</vt:lpwstr>
  </property>
  <property fmtid="{D5CDD505-2E9C-101B-9397-08002B2CF9AE}" pid="4" name="format">
    <vt:lpwstr/>
  </property>
  <property fmtid="{D5CDD505-2E9C-101B-9397-08002B2CF9AE}" pid="5" name="subtitle">
    <vt:lpwstr>FedRAMP 20x Authorization Package, Continuous Monitoring, and BOD 26-04 Submission</vt:lpwstr>
  </property>
</Properties>
</file>