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Adapters</w:t>
      </w:r>
      <w:r>
        <w:t xml:space="preserve"> </w:t>
      </w:r>
      <w:r>
        <w:t xml:space="preserve">Work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Xd0f8bad24dee29876c7ce18d55492858858d02a"/>
    <w:p>
      <w:pPr>
        <w:pStyle w:val="Heading1"/>
      </w:pPr>
      <w:r>
        <w:t xml:space="preserve">How Adapters Work — UIAO DNS-Style Resolution Pattern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Authoritative</w:t>
      </w:r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uiao-core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April 2026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UIAO adapter framework is intentionally</w:t>
      </w:r>
      <w:r>
        <w:t xml:space="preserve"> </w:t>
      </w:r>
      <w:r>
        <w:rPr>
          <w:bCs/>
          <w:b/>
        </w:rPr>
        <w:t xml:space="preserve">lightweight and sits outside the main data path</w:t>
      </w:r>
      <w:r>
        <w:t xml:space="preserve">. Its only job is to</w:t>
      </w:r>
      <w:r>
        <w:t xml:space="preserve"> </w:t>
      </w:r>
      <w:r>
        <w:rPr>
          <w:bCs/>
          <w:b/>
        </w:rPr>
        <w:t xml:space="preserve">create alignments</w:t>
      </w:r>
      <w:r>
        <w:t xml:space="preserve"> </w:t>
      </w:r>
      <w:r>
        <w:t xml:space="preserve">— vendor-overlay references, identity-rooted claims, and evidence hashes — that the downstream generation engine consumes.</w:t>
      </w:r>
    </w:p>
    <w:p>
      <w:pPr>
        <w:pStyle w:val="BodyText"/>
      </w:pPr>
      <w:r>
        <w:t xml:space="preserve">Adapters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perform the actual conversions into OSCAL JSON, SSPs, POA&amp;Ms, or SBOMs. Those happen in the</w:t>
      </w:r>
      <w:r>
        <w:t xml:space="preserve"> </w:t>
      </w:r>
      <w:r>
        <w:rPr>
          <w:rStyle w:val="VerbatimChar"/>
        </w:rPr>
        <w:t xml:space="preserve">generators/</w:t>
      </w:r>
      <w:r>
        <w:t xml:space="preserve"> </w:t>
      </w:r>
      <w:r>
        <w:t xml:space="preserve">layer. The adapters simply tell the engine how to get there.</w:t>
      </w:r>
    </w:p>
    <w:p>
      <w:pPr>
        <w:pStyle w:val="BodyText"/>
      </w:pPr>
      <w:r>
        <w:t xml:space="preserve">This design follows the same principle as DNS: a resolver does not host your website — it tells your browser where to find it.</w:t>
      </w:r>
    </w:p>
    <w:p>
      <w:r>
        <w:pict>
          <v:rect style="width:0;height:1.5pt" o:hralign="center" o:hrstd="t" o:hr="t"/>
        </w:pict>
      </w:r>
    </w:p>
    <w:bookmarkEnd w:id="20"/>
    <w:bookmarkStart w:id="21" w:name="the-dns-analogy"/>
    <w:p>
      <w:pPr>
        <w:pStyle w:val="Heading2"/>
      </w:pPr>
      <w:r>
        <w:t xml:space="preserve">The DNS Analogy</w:t>
      </w:r>
    </w:p>
    <w:p>
      <w:pPr>
        <w:pStyle w:val="FirstParagraph"/>
      </w:pPr>
      <w:r>
        <w:t xml:space="preserve">The adapter pattern maps directly to how DNS resolution works: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DNS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Adapter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canon (Single Source of Truth)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authoritative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(Entra, ServiceNow, Palo Alto,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Tells you how to get there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address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Vendor-overlay + claim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Pointer + mapping + evidence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Recursive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→ normalize →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repeatable, no data duplication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 / cache invalidation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validation against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Adapters never own or duplicate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SSOT pure</w:t>
            </w:r>
          </w:p>
        </w:tc>
      </w:tr>
    </w:tbl>
    <w:p>
      <w:pPr>
        <w:pStyle w:val="BodyText"/>
      </w:pPr>
      <w:r>
        <w:t xml:space="preserve">The adapter’s only job is to say:</w:t>
      </w:r>
      <w:r>
        <w:br/>
      </w:r>
      <w:r>
        <w:t xml:space="preserve">&gt;</w:t>
      </w:r>
      <w:r>
        <w:t xml:space="preserve"> </w:t>
      </w:r>
      <w:r>
        <w:t xml:space="preserve">“</w:t>
      </w:r>
      <w:r>
        <w:t xml:space="preserve">Hey engine — here’s the authoritative vendor record for this identity/control, here’s how it maps to our UIAO schema, and here’s the evidence hash.</w:t>
      </w:r>
      <w:r>
        <w:t xml:space="preserve">”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Cs/>
          <w:b/>
        </w:rPr>
        <w:t xml:space="preserve">generators/</w:t>
      </w:r>
      <w:r>
        <w:t xml:space="preserve"> </w:t>
      </w:r>
      <w:r>
        <w:t xml:space="preserve">layer (the real workhorse) does the heavy lifting: turning the aligned claims into full OSCAL JSON, SSPs, POA&amp;Ms, SBOMs, drift reports, and compliance artifacts.</w:t>
      </w:r>
    </w:p>
    <w:p>
      <w:r>
        <w:pict>
          <v:rect style="width:0;height:1.5pt" o:hralign="center" o:hrstd="t" o:hr="t"/>
        </w:pict>
      </w:r>
    </w:p>
    <w:bookmarkEnd w:id="21"/>
    <w:bookmarkStart w:id="22" w:name="adapter-resolution-flow"/>
    <w:p>
      <w:pPr>
        <w:pStyle w:val="Heading2"/>
      </w:pPr>
      <w:r>
        <w:t xml:space="preserve">Adapter Resolution Flow</w:t>
      </w:r>
    </w:p>
    <w:p>
      <w:pPr>
        <w:pStyle w:val="SourceCode"/>
      </w:pPr>
      <w:r>
        <w:rPr>
          <w:rStyle w:val="VerbatimChar"/>
        </w:rPr>
        <w:t xml:space="preserve">                        UIAO Adapter Pattern (DNS-Style Resolution)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┌─────────────────┐      ┌─────────────────────┐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  │  YAML Canon      │      │  Adapter (Resolver)  │      │  Vendor System   │</w:t>
      </w:r>
      <w:r>
        <w:br/>
      </w:r>
      <w:r>
        <w:rPr>
          <w:rStyle w:val="VerbatimChar"/>
        </w:rPr>
        <w:t xml:space="preserve">  │  (SSOT)          │      │                      │      │  (Entra, SNOW,   │</w:t>
      </w:r>
      <w:r>
        <w:br/>
      </w:r>
      <w:r>
        <w:rPr>
          <w:rStyle w:val="VerbatimChar"/>
        </w:rPr>
        <w:t xml:space="preserve">  │                  │      │  1. Connect           │&lt;─────│   Palo Alto...)  │</w:t>
      </w:r>
      <w:r>
        <w:br/>
      </w:r>
      <w:r>
        <w:rPr>
          <w:rStyle w:val="VerbatimChar"/>
        </w:rPr>
        <w:t xml:space="preserve">  │  "The domain     │      │  2. Collect (API)     │      │                  │</w:t>
      </w:r>
      <w:r>
        <w:br/>
      </w:r>
      <w:r>
        <w:rPr>
          <w:rStyle w:val="VerbatimChar"/>
        </w:rPr>
        <w:t xml:space="preserve">  │   name"          │      │  3. Normalize         │      │  Raw records,    │</w:t>
      </w:r>
      <w:r>
        <w:br/>
      </w:r>
      <w:r>
        <w:rPr>
          <w:rStyle w:val="VerbatimChar"/>
        </w:rPr>
        <w:t xml:space="preserve">  │                  │      │  4. Align → overlay   │      │  events, configs │</w:t>
      </w:r>
      <w:r>
        <w:br/>
      </w:r>
      <w:r>
        <w:rPr>
          <w:rStyle w:val="VerbatimChar"/>
        </w:rPr>
        <w:t xml:space="preserve">  └────────┬─────────┘      └──────────┬────────────┘      └──────────────────┘</w:t>
      </w:r>
      <w:r>
        <w:br/>
      </w:r>
      <w:r>
        <w:rPr>
          <w:rStyle w:val="VerbatimChar"/>
        </w:rPr>
        <w:t xml:space="preserve">           │                           │</w:t>
      </w:r>
      <w:r>
        <w:br/>
      </w:r>
      <w:r>
        <w:rPr>
          <w:rStyle w:val="VerbatimChar"/>
        </w:rPr>
        <w:t xml:space="preserve">           │   Vendor-overlay +        │</w:t>
      </w:r>
      <w:r>
        <w:br/>
      </w:r>
      <w:r>
        <w:rPr>
          <w:rStyle w:val="VerbatimChar"/>
        </w:rPr>
        <w:t xml:space="preserve">           │   claim alignment         │</w:t>
      </w:r>
      <w:r>
        <w:br/>
      </w:r>
      <w:r>
        <w:rPr>
          <w:rStyle w:val="VerbatimChar"/>
        </w:rPr>
        <w:t xml:space="preserve">           │   ("IP address")          │</w:t>
      </w:r>
      <w:r>
        <w:br/>
      </w:r>
      <w:r>
        <w:rPr>
          <w:rStyle w:val="VerbatimChar"/>
        </w:rPr>
        <w:t xml:space="preserve">           ▼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Generation Engine (generators/)      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Aligned claims ──&gt; OSCAL JSON, SSP, POA&amp;M, SBOM, DOCX, PPTX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The engine does the heavy lifting. Adapters just point the way.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Start w:id="27" w:name="X0e2c95fa1f95f29ce28d93efe13d7aa790678e1"/>
    <w:p>
      <w:pPr>
        <w:pStyle w:val="Heading2"/>
      </w:pPr>
      <w:r>
        <w:t xml:space="preserve">What an Adapter Actually Does (Step-by-Step)</w:t>
      </w:r>
    </w:p>
    <w:p>
      <w:pPr>
        <w:pStyle w:val="FirstParagraph"/>
      </w:pPr>
      <w:r>
        <w:t xml:space="preserve">Every adapter in the Big 7 framework follows the same four-step resolution pattern:</w:t>
      </w:r>
    </w:p>
    <w:bookmarkStart w:id="23" w:name="step-1-connect"/>
    <w:p>
      <w:pPr>
        <w:pStyle w:val="Heading3"/>
      </w:pPr>
      <w:r>
        <w:t xml:space="preserve">Step 1 — Connect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establishes a secure connection to the vendor system using OAuth client credentials, API keys, or mTLS. It returns a</w:t>
      </w:r>
      <w:r>
        <w:t xml:space="preserve"> </w:t>
      </w:r>
      <w:r>
        <w:rPr>
          <w:rStyle w:val="VerbatimChar"/>
        </w:rPr>
        <w:t xml:space="preserve">ConnectionProvenance</w:t>
      </w:r>
      <w:r>
        <w:t xml:space="preserve"> </w:t>
      </w:r>
      <w:r>
        <w:t xml:space="preserve">record capturing the identity, auth method, endpoint, and TLS version.</w:t>
      </w:r>
    </w:p>
    <w:p>
      <w:pPr>
        <w:pStyle w:val="SourceCode"/>
      </w:pPr>
      <w:r>
        <w:rPr>
          <w:rStyle w:val="VerbatimChar"/>
        </w:rPr>
        <w:t xml:space="preserve">Collector → Vendor API (Graph, ServiceNow REST, Panorama, etc.)</w:t>
      </w:r>
      <w:r>
        <w:br/>
      </w:r>
      <w:r>
        <w:rPr>
          <w:rStyle w:val="VerbatimChar"/>
        </w:rPr>
        <w:t xml:space="preserve">         ← ConnectionProvenance (identity, endpoint, tls, timestamp)</w:t>
      </w:r>
    </w:p>
    <w:bookmarkEnd w:id="23"/>
    <w:bookmarkStart w:id="24" w:name="step-2-collect"/>
    <w:p>
      <w:pPr>
        <w:pStyle w:val="Heading3"/>
      </w:pPr>
      <w:r>
        <w:t xml:space="preserve">Step 2 — Collect</w:t>
      </w:r>
    </w:p>
    <w:p>
      <w:pPr>
        <w:pStyle w:val="FirstParagraph"/>
      </w:pPr>
      <w:r>
        <w:t xml:space="preserve">The collector queries the vendor API for raw records relevant to the target KSI or control family. It does not filter or transform — it returns the raw payload.</w:t>
      </w:r>
    </w:p>
    <w:p>
      <w:pPr>
        <w:pStyle w:val="SourceCode"/>
      </w:pPr>
      <w:r>
        <w:rPr>
          <w:rStyle w:val="VerbatimChar"/>
        </w:rPr>
        <w:t xml:space="preserve">Collector.collect(ksi_id="AC-2")</w:t>
      </w:r>
      <w:r>
        <w:br/>
      </w:r>
      <w:r>
        <w:rPr>
          <w:rStyle w:val="VerbatimChar"/>
        </w:rPr>
        <w:t xml:space="preserve">         ← EvidencePackage (raw_data, source, timestamp, hash)</w:t>
      </w:r>
    </w:p>
    <w:bookmarkEnd w:id="24"/>
    <w:bookmarkStart w:id="25" w:name="step-3-normalize"/>
    <w:p>
      <w:pPr>
        <w:pStyle w:val="Heading3"/>
      </w:pPr>
      <w:r>
        <w:t xml:space="preserve">Step 3 — Normalize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transforms raw vendor records into canonical UIAO</w:t>
      </w:r>
      <w:r>
        <w:t xml:space="preserve"> </w:t>
      </w:r>
      <w:r>
        <w:rPr>
          <w:rStyle w:val="VerbatimChar"/>
        </w:rPr>
        <w:t xml:space="preserve">ClaimObject</w:t>
      </w:r>
      <w:r>
        <w:t xml:space="preserve"> </w:t>
      </w:r>
      <w:r>
        <w:t xml:space="preserve">entries. Each claim binds: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</w:t>
      </w:r>
      <w:r>
        <w:t xml:space="preserve"> </w:t>
      </w:r>
      <w:r>
        <w:t xml:space="preserve">— the root namespace (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 ID</w:t>
      </w:r>
      <w:r>
        <w:t xml:space="preserve"> </w:t>
      </w:r>
      <w:r>
        <w:t xml:space="preserve">— the NIST control this claim maps 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Implementation statement</w:t>
      </w:r>
      <w:r>
        <w:t xml:space="preserve"> </w:t>
      </w:r>
      <w:r>
        <w:t xml:space="preserve">— what the vendor record proves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Vendor-overlay reference</w:t>
      </w:r>
      <w:r>
        <w:t xml:space="preserve"> </w:t>
      </w:r>
      <w:r>
        <w:t xml:space="preserve">— pointer to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 hash</w:t>
      </w:r>
      <w:r>
        <w:t xml:space="preserve"> </w:t>
      </w:r>
      <w:r>
        <w:t xml:space="preserve">— SHA-256 of the raw record for provenance</w:t>
      </w:r>
    </w:p>
    <w:p>
      <w:pPr>
        <w:pStyle w:val="SourceCode"/>
      </w:pPr>
      <w:r>
        <w:rPr>
          <w:rStyle w:val="NormalTok"/>
        </w:rPr>
        <w:t xml:space="preserve">ClaimObject(</w:t>
      </w:r>
      <w:r>
        <w:br/>
      </w:r>
      <w:r>
        <w:rPr>
          <w:rStyle w:val="NormalTok"/>
        </w:rPr>
        <w:t xml:space="preserve">    claim_id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"entra:user:abc123"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fields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identity, control_id, implementation_statement, ... },</w:t>
      </w:r>
      <w:r>
        <w:br/>
      </w:r>
      <w:r>
        <w:rPr>
          <w:rStyle w:val="NormalTok"/>
        </w:rPr>
        <w:t xml:space="preserve">    source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provenance_hash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sha256(raw_record)</w:t>
      </w:r>
      <w:r>
        <w:br/>
      </w:r>
      <w:r>
        <w:rPr>
          <w:rStyle w:val="NormalTok"/>
        </w:rPr>
        <w:t xml:space="preserve">)</w:t>
      </w:r>
    </w:p>
    <w:bookmarkEnd w:id="25"/>
    <w:bookmarkStart w:id="26" w:name="step-4-align-to-overlay"/>
    <w:p>
      <w:pPr>
        <w:pStyle w:val="Heading3"/>
      </w:pPr>
      <w:r>
        <w:t xml:space="preserve">Step 4 — Align to Overlay</w:t>
      </w:r>
    </w:p>
    <w:p>
      <w:pPr>
        <w:pStyle w:val="FirstParagraph"/>
      </w:pPr>
      <w:r>
        <w:t xml:space="preserve">The adapter packages all claims into a</w:t>
      </w:r>
      <w:r>
        <w:t xml:space="preserve"> </w:t>
      </w:r>
      <w:r>
        <w:rPr>
          <w:rStyle w:val="VerbatimChar"/>
        </w:rPr>
        <w:t xml:space="preserve">ClaimSet</w:t>
      </w:r>
      <w:r>
        <w:t xml:space="preserve"> </w:t>
      </w:r>
      <w:r>
        <w:t xml:space="preserve">with a source reference back to the vendor API. The engine merges this alignment into the canon and hands it to the generators for full artifact creation.</w:t>
      </w:r>
    </w:p>
    <w:p>
      <w:pPr>
        <w:pStyle w:val="SourceCode"/>
      </w:pPr>
      <w:r>
        <w:rPr>
          <w:rStyle w:val="VerbatimChar"/>
        </w:rPr>
        <w:t xml:space="preserve">Adapter.normalize(raw_rows)</w:t>
      </w:r>
      <w:r>
        <w:br/>
      </w:r>
      <w:r>
        <w:rPr>
          <w:rStyle w:val="VerbatimChar"/>
        </w:rPr>
        <w:t xml:space="preserve">       ← ClaimSet (claims[], source_reference)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Engine merges into canon → generators/ produce artifacts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he-big-7-vendor-adapters"/>
    <w:p>
      <w:pPr>
        <w:pStyle w:val="Heading2"/>
      </w:pPr>
      <w:r>
        <w:t xml:space="preserve">The Big 7 Vendor Adapters</w:t>
      </w:r>
    </w:p>
    <w:p>
      <w:pPr>
        <w:pStyle w:val="FirstParagraph"/>
      </w:pPr>
      <w:r>
        <w:t xml:space="preserve">UIAO’s adapter framework covers the seven core vendor systems in the federal modernization stack: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Control Families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(Identity)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CA, SA, PM (GRC)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(DNS/IPAM)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paloalto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(Boundary)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(Network)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(Overlay)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</w:tbl>
    <w:p>
      <w:pPr>
        <w:pStyle w:val="BodyText"/>
      </w:pPr>
      <w:r>
        <w:t xml:space="preserve">Each adapter follows the identical four-step pattern. Adding a new vendor means implementing: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src/uiao_core/collectors/&lt;vendor&gt;/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src/uiao_core/adapters/&lt;vendor&gt;_adapter.py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vendor overlay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pStyle w:val="FirstParagraph"/>
      </w:pPr>
      <w:r>
        <w:t xml:space="preserve">No generation code changes. No schema changes. The DNS pattern makes vendors swappable.</w:t>
      </w:r>
    </w:p>
    <w:p>
      <w:r>
        <w:pict>
          <v:rect style="width:0;height:1.5pt" o:hralign="center" o:hrstd="t" o:hr="t"/>
        </w:pict>
      </w:r>
    </w:p>
    <w:bookmarkEnd w:id="28"/>
    <w:bookmarkStart w:id="34" w:name="key-design-principles"/>
    <w:p>
      <w:pPr>
        <w:pStyle w:val="Heading2"/>
      </w:pPr>
      <w:r>
        <w:t xml:space="preserve">Key Design Principles</w:t>
      </w:r>
    </w:p>
    <w:bookmarkStart w:id="29" w:name="adapters-never-own-data"/>
    <w:p>
      <w:pPr>
        <w:pStyle w:val="Heading3"/>
      </w:pPr>
      <w:r>
        <w:t xml:space="preserve">Adapters Never Own Data</w:t>
      </w:r>
    </w:p>
    <w:p>
      <w:pPr>
        <w:pStyle w:val="FirstParagraph"/>
      </w:pPr>
      <w:r>
        <w:t xml:space="preserve">Adapters produce lightweight pointers (vendor-overlay + claim + evidence hash) that the generation engine consumes. They never copy, cache, or store vendor data. SSOT remains in the YAML canon.</w:t>
      </w:r>
    </w:p>
    <w:bookmarkEnd w:id="29"/>
    <w:bookmarkStart w:id="30" w:name="identity-is-the-root-namespace"/>
    <w:p>
      <w:pPr>
        <w:pStyle w:val="Heading3"/>
      </w:pPr>
      <w:r>
        <w:t xml:space="preserve">Identity Is the Root Namespace</w:t>
      </w:r>
    </w:p>
    <w:p>
      <w:pPr>
        <w:pStyle w:val="FirstParagraph"/>
      </w:pPr>
      <w:r>
        <w:t xml:space="preserve">Every claim is rooted in an identity:</w:t>
      </w:r>
      <w:r>
        <w:t xml:space="preserve"> 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,</w:t>
      </w:r>
      <w:r>
        <w:t xml:space="preserve"> </w:t>
      </w:r>
      <w:r>
        <w:rPr>
          <w:rStyle w:val="VerbatimChar"/>
        </w:rPr>
        <w:t xml:space="preserve">cyberark:account:sa-prod-01</w:t>
      </w:r>
      <w:r>
        <w:t xml:space="preserve">. This enables deterministic correlation across vendors.</w:t>
      </w:r>
    </w:p>
    <w:bookmarkEnd w:id="30"/>
    <w:bookmarkStart w:id="31" w:name="evidence-hash-for-provenance"/>
    <w:p>
      <w:pPr>
        <w:pStyle w:val="Heading3"/>
      </w:pPr>
      <w:r>
        <w:t xml:space="preserve">Evidence Hash for Provenance</w:t>
      </w:r>
    </w:p>
    <w:p>
      <w:pPr>
        <w:pStyle w:val="FirstParagraph"/>
      </w:pPr>
      <w:r>
        <w:t xml:space="preserve">Every claim includes a SHA-256 hash of the raw vendor record. This creates an auditable chain from the final OSCAL artifact back to the original vendor event.</w:t>
      </w:r>
    </w:p>
    <w:bookmarkEnd w:id="31"/>
    <w:bookmarkStart w:id="32" w:name="drift-detection-built-in"/>
    <w:p>
      <w:pPr>
        <w:pStyle w:val="Heading3"/>
      </w:pPr>
      <w:r>
        <w:t xml:space="preserve">Drift Detection Built In</w:t>
      </w:r>
    </w:p>
    <w:p>
      <w:pPr>
        <w:pStyle w:val="FirstParagraph"/>
      </w:pPr>
      <w:r>
        <w:t xml:space="preserve">Each adapter includes a</w:t>
      </w:r>
      <w:r>
        <w:t xml:space="preserve"> </w:t>
      </w:r>
      <w:r>
        <w:rPr>
          <w:rStyle w:val="VerbatimChar"/>
        </w:rPr>
        <w:t xml:space="preserve">detect_drift()</w:t>
      </w:r>
      <w:r>
        <w:t xml:space="preserve"> </w:t>
      </w:r>
      <w:r>
        <w:t xml:space="preserve">method that compares current vendor state against the YAML canon. Drift is reported but never auto-remediated — governance workflows handle the response.</w:t>
      </w:r>
    </w:p>
    <w:bookmarkEnd w:id="32"/>
    <w:bookmarkStart w:id="33" w:name="schema-discovery"/>
    <w:p>
      <w:pPr>
        <w:pStyle w:val="Heading3"/>
      </w:pPr>
      <w:r>
        <w:t xml:space="preserve">Schema Discovery</w:t>
      </w:r>
    </w:p>
    <w:p>
      <w:pPr>
        <w:pStyle w:val="FirstParagraph"/>
      </w:pPr>
      <w:r>
        <w:t xml:space="preserve">Adapters expose a</w:t>
      </w:r>
      <w:r>
        <w:t xml:space="preserve"> </w:t>
      </w:r>
      <w:r>
        <w:rPr>
          <w:rStyle w:val="VerbatimChar"/>
        </w:rPr>
        <w:t xml:space="preserve">discover_schema()</w:t>
      </w:r>
      <w:r>
        <w:t xml:space="preserve"> </w:t>
      </w:r>
      <w:r>
        <w:t xml:space="preserve">method that maps vendor-specific fields to the canonical UIAO schema. This enables the engine to validate mappings before processing.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file-layout"/>
    <w:p>
      <w:pPr>
        <w:pStyle w:val="Heading2"/>
      </w:pPr>
      <w:r>
        <w:t xml:space="preserve">File Layout</w:t>
      </w:r>
    </w:p>
    <w:p>
      <w:pPr>
        <w:pStyle w:val="SourceCode"/>
      </w:pPr>
      <w:r>
        <w:rPr>
          <w:rStyle w:val="VerbatimChar"/>
        </w:rPr>
        <w:t xml:space="preserve">src/uiao_core/</w:t>
      </w:r>
      <w:r>
        <w:br/>
      </w:r>
      <w:r>
        <w:rPr>
          <w:rStyle w:val="VerbatimChar"/>
        </w:rPr>
        <w:t xml:space="preserve">├── adapters/</w:t>
      </w:r>
      <w:r>
        <w:br/>
      </w:r>
      <w:r>
        <w:rPr>
          <w:rStyle w:val="VerbatimChar"/>
        </w:rPr>
        <w:t xml:space="preserve">│   ├── database_base.py          # Base classes: ClaimObject, ClaimSet, DriftReport</w:t>
      </w:r>
      <w:r>
        <w:br/>
      </w:r>
      <w:r>
        <w:rPr>
          <w:rStyle w:val="VerbatimChar"/>
        </w:rPr>
        <w:t xml:space="preserve">│   ├── entra_adapter.py          # Microsoft Entra ID adapter</w:t>
      </w:r>
      <w:r>
        <w:br/>
      </w:r>
      <w:r>
        <w:rPr>
          <w:rStyle w:val="VerbatimChar"/>
        </w:rPr>
        <w:t xml:space="preserve">│   ├── servicenow_adapter.py     # ServiceNow GRC adapter</w:t>
      </w:r>
      <w:r>
        <w:br/>
      </w:r>
      <w:r>
        <w:rPr>
          <w:rStyle w:val="VerbatimChar"/>
        </w:rPr>
        <w:t xml:space="preserve">│   ├── infoblox_adapter.py       # Infoblox DNS/IPAM adapter</w:t>
      </w:r>
      <w:r>
        <w:br/>
      </w:r>
      <w:r>
        <w:rPr>
          <w:rStyle w:val="VerbatimChar"/>
        </w:rPr>
        <w:t xml:space="preserve">│   ├── cyberark_adapter.py       # CyberArk PAM adapter</w:t>
      </w:r>
      <w:r>
        <w:br/>
      </w:r>
      <w:r>
        <w:rPr>
          <w:rStyle w:val="VerbatimChar"/>
        </w:rPr>
        <w:t xml:space="preserve">│   ├── paloalto_adapter.py       # Palo Alto boundary adapter</w:t>
      </w:r>
      <w:r>
        <w:br/>
      </w:r>
      <w:r>
        <w:rPr>
          <w:rStyle w:val="VerbatimChar"/>
        </w:rPr>
        <w:t xml:space="preserve">│   ├── cisco_adapter.py          # Cisco network adapter</w:t>
      </w:r>
      <w:r>
        <w:br/>
      </w:r>
      <w:r>
        <w:rPr>
          <w:rStyle w:val="VerbatimChar"/>
        </w:rPr>
        <w:t xml:space="preserve">│   └── sdwan_adapter.py          # SD-WAN overlay adapter</w:t>
      </w:r>
      <w:r>
        <w:br/>
      </w:r>
      <w:r>
        <w:rPr>
          <w:rStyle w:val="VerbatimChar"/>
        </w:rPr>
        <w:t xml:space="preserve">├── collectors/</w:t>
      </w:r>
      <w:r>
        <w:br/>
      </w:r>
      <w:r>
        <w:rPr>
          <w:rStyle w:val="VerbatimChar"/>
        </w:rPr>
        <w:t xml:space="preserve">│   ├── entra/</w:t>
      </w:r>
      <w:r>
        <w:br/>
      </w:r>
      <w:r>
        <w:rPr>
          <w:rStyle w:val="VerbatimChar"/>
        </w:rPr>
        <w:t xml:space="preserve">│   │   └── entra_collector.py    # Microsoft Graph API collector</w:t>
      </w:r>
      <w:r>
        <w:br/>
      </w:r>
      <w:r>
        <w:rPr>
          <w:rStyle w:val="VerbatimChar"/>
        </w:rPr>
        <w:t xml:space="preserve">│   ├── servicenow/</w:t>
      </w:r>
      <w:r>
        <w:br/>
      </w:r>
      <w:r>
        <w:rPr>
          <w:rStyle w:val="VerbatimChar"/>
        </w:rPr>
        <w:t xml:space="preserve">│   │   └── servicenow_collector.py</w:t>
      </w:r>
      <w:r>
        <w:br/>
      </w:r>
      <w:r>
        <w:rPr>
          <w:rStyle w:val="VerbatimChar"/>
        </w:rPr>
        <w:t xml:space="preserve">│   └── ...                       # One collector per vendor</w:t>
      </w:r>
      <w:r>
        <w:br/>
      </w: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└── vendor-overlays/</w:t>
      </w:r>
      <w:r>
        <w:br/>
      </w:r>
      <w:r>
        <w:rPr>
          <w:rStyle w:val="VerbatimChar"/>
        </w:rPr>
        <w:t xml:space="preserve">    ├── microsoft.yaml             # Entra overlay spec</w:t>
      </w:r>
      <w:r>
        <w:br/>
      </w:r>
      <w:r>
        <w:rPr>
          <w:rStyle w:val="VerbatimChar"/>
        </w:rPr>
        <w:t xml:space="preserve">    ├── servicenow.yaml            # ServiceNow overlay spec</w:t>
      </w:r>
      <w:r>
        <w:br/>
      </w:r>
      <w:r>
        <w:rPr>
          <w:rStyle w:val="VerbatimChar"/>
        </w:rPr>
        <w:t xml:space="preserve">    └── ...                        # One overlay per vendor</w:t>
      </w:r>
    </w:p>
    <w:p>
      <w:r>
        <w:pict>
          <v:rect style="width:0;height:1.5pt" o:hralign="center" o:hrstd="t" o:hr="t"/>
        </w:pict>
      </w:r>
    </w:p>
    <w:bookmarkEnd w:id="35"/>
    <w:bookmarkStart w:id="36" w:name="why-this-matters-for-fedramp"/>
    <w:p>
      <w:pPr>
        <w:pStyle w:val="Heading2"/>
      </w:pPr>
      <w:r>
        <w:t xml:space="preserve">Why This Matters for FedRAMP</w:t>
      </w:r>
    </w:p>
    <w:p>
      <w:pPr>
        <w:pStyle w:val="FirstParagraph"/>
      </w:pPr>
      <w:r>
        <w:t xml:space="preserve">The DNS-style adapter pattern directly supports FedRAMP Moderate Rev 5 compliance: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Continuous monitoring</w:t>
      </w:r>
      <w:r>
        <w:t xml:space="preserve"> </w:t>
      </w:r>
      <w:r>
        <w:t xml:space="preserve">— Adapters provide real-time evidence collection from vendor systems, not point-in-time snapshots.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Automated evidence</w:t>
      </w:r>
      <w:r>
        <w:t xml:space="preserve"> </w:t>
      </w:r>
      <w:r>
        <w:t xml:space="preserve">— Every claim carries an evidence hash linking back to the vendor record, satisfying OSCAL back-matter requirements.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Drift detection</w:t>
      </w:r>
      <w:r>
        <w:t xml:space="preserve"> </w:t>
      </w:r>
      <w:r>
        <w:t xml:space="preserve">— Continuous validation against the YAML canon catches configuration drift before it becomes a finding.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— The provenance chain (vendor API → collector → adapter → claim → generator → OSCAL artifact) is fully traceable.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Vendor independence</w:t>
      </w:r>
      <w:r>
        <w:t xml:space="preserve"> </w:t>
      </w:r>
      <w:r>
        <w:t xml:space="preserve">— The swappable adapter pattern means agencies can replace vendor systems without rebuilding the compliance pipeline.</w:t>
      </w:r>
    </w:p>
    <w:p>
      <w:r>
        <w:pict>
          <v:rect style="width:0;height:1.5pt" o:hralign="center" o:hrstd="t" o:hr="t"/>
        </w:pict>
      </w:r>
    </w:p>
    <w:bookmarkEnd w:id="36"/>
    <w:bookmarkStart w:id="43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README (summary)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VerbatimChar"/>
                </w:rPr>
                <w:t xml:space="preserve">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base classes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VerbatimChar"/>
                </w:rPr>
                <w:t xml:space="preserve">src/uiao_core/adapters/database_base.py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 adapter (reference impl)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VerbatimChar"/>
                </w:rPr>
                <w:t xml:space="preserve">src/uiao_core/adapters/entra_adapter.py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 adapter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VerbatimChar"/>
                </w:rPr>
                <w:t xml:space="preserve">src/uiao_core/adapters/servicenow_adapter.py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 overlays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VerbatimChar"/>
                </w:rPr>
                <w:t xml:space="preserve">data/vendor-overlays/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enrichment rules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VerbatimChar"/>
                </w:rPr>
                <w:t xml:space="preserve">rules/ksi/enrichment_rules.py</w:t>
              </w:r>
            </w:hyperlink>
          </w:p>
        </w:tc>
      </w:tr>
    </w:tbl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Adapters Work V1.0</dc:title>
  <dc:creator>UIAO Modernization Program</dc:creator>
  <cp:keywords/>
  <dcterms:created xsi:type="dcterms:W3CDTF">2026-04-05T21:22:23Z</dcterms:created>
  <dcterms:modified xsi:type="dcterms:W3CDTF">2026-04-05T21:22:23Z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