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Leadership</w:t>
      </w:r>
      <w:r>
        <w:t xml:space="preserve"> </w:t>
      </w:r>
      <w:r>
        <w:t xml:space="preserve">Briefing</w:t>
      </w:r>
    </w:p>
    <w:bookmarkStart w:id="20" w:name="X06fcfe5dabe78ef55c35679c727c7b97b691a86"/>
    <w:p>
      <w:pPr>
        <w:pStyle w:val="Heading1"/>
      </w:pPr>
      <w:r>
        <w:t xml:space="preserve">Unified Identity‑Addressing‑Overlay Architecture (UIAO)</w:t>
      </w:r>
    </w:p>
    <w:p>
      <w:pPr>
        <w:pStyle w:val="FirstParagraph"/>
      </w:pPr>
      <w:r>
        <w:rPr>
          <w:bCs/>
          <w:b/>
        </w:rPr>
        <w:t xml:space="preserve">Leadership Briefing — Version 1.0</w:t>
      </w:r>
    </w:p>
    <w:p>
      <w:r>
        <w:pict>
          <v:rect style="width:0;height:1.5pt" o:hralign="center" o:hrstd="t" o:hr="t"/>
        </w:pict>
      </w:r>
    </w:p>
    <w:bookmarkEnd w:id="20"/>
    <w:bookmarkStart w:id="21" w:name="executive-summary"/>
    <w:p>
      <w:pPr>
        <w:pStyle w:val="Heading1"/>
      </w:pPr>
      <w:r>
        <w:t xml:space="preserve">Executive Summary</w:t>
      </w:r>
    </w:p>
    <w:p>
      <w:pPr>
        <w:pStyle w:val="FirstParagraph"/>
      </w:pPr>
      <w:r>
        <w:t xml:space="preserve">The Unified Identity-Addressing-Overlay Architecture (UIAO) establishes a modern federal enterprise built on identity, telemetry, and cloud-first routing. It replaces fragmented legacy systems with a coherent, Zero Trust-aligned architecture that treats identity as the perimeter, telemetry as the authoritative truth source, and governance as an automated workflow rather than a manual process. UIAO is not a technology refresh; it is a structural modernization of how the agency authenticates, addresses, routes, observes, and governs every digital interaction.</w:t>
      </w:r>
      <w:r>
        <w:t xml:space="preserve"> </w:t>
      </w:r>
      <w:r>
        <w:t xml:space="preserve">The agency’s current environment is constrained by TIC 2.0 hairpinning, on-premises Active Directory dependencies, fragmented IPAM, inconsistent Zero Trust enforcement, and incomplete telemetry. These limitations degrade M365 performance, increase cyber risk, and create compliance gaps with TIC 3.0, FedRAMP 20x Phase 2, SCuBA, and NIST 800-63. UIAO directly addresses these issues by unifying identity, addressing, routing, and telemetry into a single architectural fabric.</w:t>
      </w:r>
      <w:r>
        <w:t xml:space="preserve"> </w:t>
      </w:r>
      <w:r>
        <w:t xml:space="preserve">The vision is a cloud-optimized, identity-driven enterprise where every resource—from IP addresses to certificates to routing paths—is derived from or bound to identity. Telemetry becomes a real-time control input for routing and security decisions. Addressing becomes deterministic and policy-driven. Routing becomes cloud-first and performance-optimized. Governance becomes embedded and automated. Above all, modernization is guided by a simple principle: if a change degrades citizen experience, it does not ship.</w:t>
      </w:r>
      <w:r>
        <w:t xml:space="preserve"> </w:t>
      </w:r>
      <w:r>
        <w:t xml:space="preserve">UIAO organizes the modernized enterprise into five coordinated control planes and Eight Core Concepts that define how the architecture operates. These planes and concepts work together to deliver conversation-level visibility, identity-aware segmentation, accurate location inference, and automated policy enforcement. The frozen state analysis reveals a legacy environment that cannot support modern mission requirements. UIAO resolves these issues by establishing a unified, authoritative, and automated architecture that improves performance, strengthens security, reduces compliance risk, and enhances citizen-facing services.</w:t>
      </w:r>
      <w:r>
        <w:t xml:space="preserve"> </w:t>
      </w:r>
      <w:r>
        <w:t xml:space="preserve">UIAO delivers measurable outcomes: reduced latency, improved M365 performance, stronger identity governance, deterministic addressing, real-time telemetry correlation, and alignment with federal modernization mandates. It provides the foundation for a resilient, scalable, and future-ready federal enterprise.</w:t>
      </w:r>
    </w:p>
    <w:p>
      <w:r>
        <w:pict>
          <v:rect style="width:0;height:1.5pt" o:hralign="center" o:hrstd="t" o:hr="t"/>
        </w:pict>
      </w:r>
    </w:p>
    <w:bookmarkEnd w:id="21"/>
    <w:bookmarkStart w:id="22" w:name="program-overview"/>
    <w:p>
      <w:pPr>
        <w:pStyle w:val="Heading1"/>
      </w:pPr>
      <w:r>
        <w:t xml:space="preserve">Program Overview</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3" w:name="why-modernization-is-required"/>
    <w:p>
      <w:pPr>
        <w:pStyle w:val="Heading1"/>
      </w:pPr>
      <w:r>
        <w:t xml:space="preserve">Why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3"/>
    <w:bookmarkStart w:id="24" w:name="program-vision"/>
    <w:p>
      <w:pPr>
        <w:pStyle w:val="Heading1"/>
      </w:pPr>
      <w:r>
        <w:t xml:space="preserve">Program Vision</w:t>
      </w:r>
    </w:p>
    <w:p>
      <w:pPr>
        <w:pStyle w:val="FirstParagraph"/>
      </w:pPr>
      <w:r>
        <w:t xml:space="preserve">UIAO envisions a fully modernized federal network where identity, addressing, routing, and telemetry operate as a unified system. In this end state, identity becomes the root namespace for all resources, addressing becomes deterministic and policy-driven, routing becomes cloud-first and performance-optimized, and telemetry becomes a real-time control input rather than a passive reporting mechanism.</w:t>
      </w:r>
      <w:r>
        <w:t xml:space="preserve"> </w:t>
      </w:r>
      <w:r>
        <w:t xml:space="preserve">The architecture is guided by several principles. Zero Trust is the default operating model, with identity as the perimeter and continuous verification as the norm. Telemetry is treated as the authoritative truth source for routing, security, and compliance decisions. Modernization proceeds incrementally, avoiding big-bang cutovers and minimizing operational disruption. All design choices are aligned with FedRAMP, TIC 3.0, and NIST 800-63 requirements. Above all, the architecture prioritizes citizen experience: if a change degrades public service, it does not ship.</w:t>
      </w:r>
    </w:p>
    <w:p>
      <w:r>
        <w:pict>
          <v:rect style="width:0;height:1.5pt" o:hralign="center" o:hrstd="t" o:hr="t"/>
        </w:pict>
      </w:r>
    </w:p>
    <w:bookmarkEnd w:id="24"/>
    <w:bookmarkStart w:id="30" w:name="the-five-control-planes"/>
    <w:p>
      <w:pPr>
        <w:pStyle w:val="Heading1"/>
      </w:pPr>
      <w:r>
        <w:t xml:space="preserve">The Five Control Planes</w:t>
      </w:r>
    </w:p>
    <w:bookmarkStart w:id="25"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5"/>
    <w:bookmarkStart w:id="26"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6"/>
    <w:bookmarkStart w:id="27"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7"/>
    <w:bookmarkStart w:id="28"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8"/>
    <w:bookmarkStart w:id="29"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9"/>
    <w:bookmarkEnd w:id="30"/>
    <w:bookmarkStart w:id="39" w:name="eight-core-concepts"/>
    <w:p>
      <w:pPr>
        <w:pStyle w:val="Heading1"/>
      </w:pPr>
      <w:r>
        <w:t xml:space="preserve">Eight Core Concepts</w:t>
      </w:r>
    </w:p>
    <w:bookmarkStart w:id="31"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31"/>
    <w:bookmarkStart w:id="32"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32"/>
    <w:bookmarkStart w:id="33"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3"/>
    <w:bookmarkStart w:id="34"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4"/>
    <w:bookmarkStart w:id="35"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5"/>
    <w:bookmarkStart w:id="36"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6"/>
    <w:bookmarkStart w:id="37"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7"/>
    <w:bookmarkStart w:id="38"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8"/>
    <w:bookmarkEnd w:id="39"/>
    <w:bookmarkStart w:id="40" w:name="frozen-state-analysis"/>
    <w:p>
      <w:pPr>
        <w:pStyle w:val="Heading1"/>
      </w:pPr>
      <w:r>
        <w:t xml:space="preserve">Frozen State Analysis</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40"/>
    <w:bookmarkStart w:id="41" w:name="program-outcomes"/>
    <w:p>
      <w:pPr>
        <w:pStyle w:val="Heading1"/>
      </w:pPr>
      <w:r>
        <w:t xml:space="preserve">Program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End w:id="41"/>
    <w:bookmarkStart w:id="45" w:name="vibrant-visualizations"/>
    <w:p>
      <w:pPr>
        <w:pStyle w:val="Heading1"/>
      </w:pPr>
      <w:r>
        <w:t xml:space="preserve">Vibrant Visualizations</w:t>
      </w:r>
    </w:p>
    <w:bookmarkStart w:id="42" w:name="modernization-journey"/>
    <w:p>
      <w:pPr>
        <w:pStyle w:val="Heading3"/>
      </w:pPr>
      <w:r>
        <w:t xml:space="preserve">Modernization Journey</w:t>
      </w:r>
    </w:p>
    <w:tbl>
      <w:tblPr>
        <w:tblStyle w:val="FigureTable"/>
        <w:tblW w:type="auto" w:w="0"/>
        <w:tblLook w:firstRow="0" w:lastRow="0" w:firstColumn="0" w:lastColumn="0"/>
        <w:jc w:val="center"/>
      </w:tblPr>
      <w:tblGrid>
        <w:gridCol w:w="7920"/>
      </w:tblGrid>
      <w:tr>
        <w:tc>
          <w:tcPr/>
          <w:p>
            <w:pPr>
              <w:pStyle w:val="Compact"/>
              <w:jc w:val="center"/>
            </w:pPr>
            <w:r>
              <w:t xml:space="preserve">Modernization Atlas</w:t>
            </w:r>
          </w:p>
        </w:tc>
      </w:tr>
    </w:tbl>
    <w:p>
      <w:pPr>
        <w:pStyle w:val="ImageCaption"/>
      </w:pPr>
      <w:r>
        <w:t xml:space="preserve">Modernization Atlas</w:t>
      </w:r>
    </w:p>
    <w:bookmarkEnd w:id="42"/>
    <w:bookmarkStart w:id="43" w:name="fedramp-20x-governance-loop"/>
    <w:p>
      <w:pPr>
        <w:pStyle w:val="Heading3"/>
      </w:pPr>
      <w:r>
        <w:t xml:space="preserve">FedRAMP 20x Governance Loop</w:t>
      </w:r>
    </w:p>
    <w:tbl>
      <w:tblPr>
        <w:tblStyle w:val="FigureTable"/>
        <w:tblW w:type="auto" w:w="0"/>
        <w:tblLook w:firstRow="0" w:lastRow="0" w:firstColumn="0" w:lastColumn="0"/>
        <w:jc w:val="center"/>
      </w:tblPr>
      <w:tblGrid>
        <w:gridCol w:w="7920"/>
      </w:tblGrid>
      <w:tr>
        <w:tc>
          <w:tcPr/>
          <w:p>
            <w:pPr>
              <w:pStyle w:val="Compact"/>
              <w:jc w:val="center"/>
            </w:pPr>
            <w:r>
              <w:t xml:space="preserve">20x Governance Hub</w:t>
            </w:r>
          </w:p>
        </w:tc>
      </w:tr>
    </w:tbl>
    <w:p>
      <w:pPr>
        <w:pStyle w:val="ImageCaption"/>
      </w:pPr>
      <w:r>
        <w:t xml:space="preserve">20x Governance Hub</w:t>
      </w:r>
    </w:p>
    <w:bookmarkEnd w:id="43"/>
    <w:bookmarkStart w:id="44" w:name="identity-to-ip-architecture"/>
    <w:p>
      <w:pPr>
        <w:pStyle w:val="Heading3"/>
      </w:pPr>
      <w:r>
        <w:t xml:space="preserve">Identity-to-IP Architecture</w:t>
      </w:r>
    </w:p>
    <w:tbl>
      <w:tblPr>
        <w:tblStyle w:val="FigureTable"/>
        <w:tblW w:type="auto" w:w="0"/>
        <w:tblLook w:firstRow="0" w:lastRow="0" w:firstColumn="0" w:lastColumn="0"/>
        <w:jc w:val="center"/>
      </w:tblPr>
      <w:tblGrid>
        <w:gridCol w:w="7920"/>
      </w:tblGrid>
      <w:tr>
        <w:tc>
          <w:tcPr/>
          <w:p>
            <w:pPr>
              <w:pStyle w:val="Compact"/>
              <w:jc w:val="center"/>
            </w:pPr>
            <w:r>
              <w:t xml:space="preserve">Identity Mapping</w:t>
            </w:r>
          </w:p>
        </w:tc>
      </w:tr>
    </w:tbl>
    <w:p>
      <w:pPr>
        <w:pStyle w:val="ImageCaption"/>
      </w:pPr>
      <w:r>
        <w:t xml:space="preserve">Identity Mapping</w:t>
      </w:r>
    </w:p>
    <w:p>
      <w:r>
        <w:pict>
          <v:rect style="width:0;height:1.5pt" o:hralign="center" o:hrstd="t" o:hr="t"/>
        </w:pict>
      </w:r>
    </w:p>
    <w:bookmarkEnd w:id="44"/>
    <w:bookmarkEnd w:id="45"/>
    <w:bookmarkStart w:id="47" w:name="fedramp-20x-audit-evidence-summary"/>
    <w:p>
      <w:pPr>
        <w:pStyle w:val="Heading1"/>
      </w:pPr>
      <w:r>
        <w:t xml:space="preserve">FedRAMP 20x Audit Evidence Summary</w:t>
      </w:r>
    </w:p>
    <w:p>
      <w:pPr>
        <w:pStyle w:val="FirstParagraph"/>
      </w:pPr>
      <w:r>
        <w:t xml:space="preserve">The following section provides a direct mapping of the UIAO Modernization Architecture to critical NIST 800-53 Revision 5 security controls. The vibrant visualizations linked below serve as high-level visual proof of implementation for auditors and agency authorizing officials (AOs).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Visual Title</w:t>
            </w:r>
          </w:p>
        </w:tc>
        <w:tc>
          <w:tcPr/>
          <w:p>
            <w:pPr>
              <w:pStyle w:val="Compact"/>
              <w:jc w:val="left"/>
            </w:pPr>
            <w:r>
              <w:t xml:space="preserve">Architectural Pillar</w:t>
            </w:r>
          </w:p>
        </w:tc>
        <w:tc>
          <w:tcPr/>
          <w:p>
            <w:pPr>
              <w:pStyle w:val="Compact"/>
              <w:jc w:val="left"/>
            </w:pPr>
            <w:r>
              <w:t xml:space="preserve">Relevant NIST Control(s)</w:t>
            </w:r>
          </w:p>
        </w:tc>
        <w:tc>
          <w:tcPr/>
          <w:p>
            <w:pPr>
              <w:pStyle w:val="Compact"/>
              <w:jc w:val="left"/>
            </w:pPr>
            <w:r>
              <w:t xml:space="preserve">Implementation Proof Visualization</w:t>
            </w:r>
          </w:p>
        </w:tc>
      </w:tr>
      <w:tr>
        <w:tc>
          <w:tcPr/>
          <w:p>
            <w:pPr>
              <w:pStyle w:val="Compact"/>
              <w:jc w:val="left"/>
            </w:pPr>
            <w:r>
              <w:rPr>
                <w:bCs/>
                <w:b/>
              </w:rPr>
              <w:t xml:space="preserve">V1: Identity-to-IP Mapping</w:t>
            </w:r>
          </w:p>
        </w:tc>
        <w:tc>
          <w:tcPr/>
          <w:p>
            <w:pPr>
              <w:pStyle w:val="Compact"/>
              <w:jc w:val="left"/>
            </w:pPr>
            <w:r>
              <w:rPr>
                <w:bCs/>
                <w:b/>
              </w:rPr>
              <w:t xml:space="preserve">U + A</w:t>
            </w:r>
            <w:r>
              <w:t xml:space="preserve"> </w:t>
            </w:r>
            <w:r>
              <w:t xml:space="preserve">(The Gate)</w:t>
            </w:r>
          </w:p>
        </w:tc>
        <w:tc>
          <w:tcPr/>
          <w:p>
            <w:pPr>
              <w:pStyle w:val="Compact"/>
              <w:jc w:val="left"/>
            </w:pPr>
            <w:r>
              <w:rPr>
                <w:bCs/>
                <w:b/>
              </w:rPr>
              <w:t xml:space="preserve">IA-2 (Identification), AC-19 (Mobile), CM-8 (Inventory)</w:t>
            </w:r>
          </w:p>
        </w:tc>
        <w:tc>
          <w:tcPr/>
          <w:p>
            <w:pPr>
              <w:pStyle w:val="Compact"/>
              <w:jc w:val="left"/>
            </w:pPr>
            <w:r>
              <w:t xml:space="preserve">V1 Evidence</w:t>
            </w:r>
          </w:p>
        </w:tc>
      </w:tr>
      <w:tr>
        <w:tc>
          <w:tcPr/>
          <w:p>
            <w:pPr>
              <w:pStyle w:val="Compact"/>
              <w:jc w:val="left"/>
            </w:pPr>
            <w:r>
              <w:rPr>
                <w:bCs/>
                <w:b/>
              </w:rPr>
              <w:t xml:space="preserve">V2: INR Fabric</w:t>
            </w:r>
          </w:p>
        </w:tc>
        <w:tc>
          <w:tcPr/>
          <w:p>
            <w:pPr>
              <w:pStyle w:val="Compact"/>
              <w:jc w:val="left"/>
            </w:pPr>
            <w:r>
              <w:rPr>
                <w:bCs/>
                <w:b/>
              </w:rPr>
              <w:t xml:space="preserve">O</w:t>
            </w:r>
            <w:r>
              <w:t xml:space="preserve"> </w:t>
            </w:r>
            <w:r>
              <w:t xml:space="preserve">(The Network)</w:t>
            </w:r>
          </w:p>
        </w:tc>
        <w:tc>
          <w:tcPr/>
          <w:p>
            <w:pPr>
              <w:pStyle w:val="Compact"/>
              <w:jc w:val="left"/>
            </w:pPr>
            <w:r>
              <w:rPr>
                <w:bCs/>
                <w:b/>
              </w:rPr>
              <w:t xml:space="preserve">AC-4 (Flow Enforcement)</w:t>
            </w:r>
          </w:p>
        </w:tc>
        <w:tc>
          <w:tcPr/>
          <w:p>
            <w:pPr>
              <w:pStyle w:val="Compact"/>
              <w:jc w:val="left"/>
            </w:pPr>
            <w:r>
              <w:t xml:space="preserve">V2 Evidence</w:t>
            </w:r>
          </w:p>
        </w:tc>
      </w:tr>
      <w:tr>
        <w:tc>
          <w:tcPr/>
          <w:p>
            <w:pPr>
              <w:pStyle w:val="Compact"/>
              <w:jc w:val="left"/>
            </w:pPr>
            <w:r>
              <w:rPr>
                <w:bCs/>
                <w:b/>
              </w:rPr>
              <w:t xml:space="preserve">V3: 20x Governance Loop</w:t>
            </w:r>
          </w:p>
        </w:tc>
        <w:tc>
          <w:tcPr/>
          <w:p>
            <w:pPr>
              <w:pStyle w:val="Compact"/>
              <w:jc w:val="left"/>
            </w:pPr>
            <w:r>
              <w:rPr>
                <w:bCs/>
                <w:b/>
              </w:rPr>
              <w:t xml:space="preserve">Governance</w:t>
            </w:r>
            <w:r>
              <w:t xml:space="preserve"> </w:t>
            </w:r>
            <w:r>
              <w:t xml:space="preserve">(The Hub)</w:t>
            </w:r>
          </w:p>
        </w:tc>
        <w:tc>
          <w:tcPr/>
          <w:p>
            <w:pPr>
              <w:pStyle w:val="Compact"/>
              <w:jc w:val="left"/>
            </w:pPr>
            <w:r>
              <w:rPr>
                <w:bCs/>
                <w:b/>
              </w:rPr>
              <w:t xml:space="preserve">CA-7 (Continuous Monitoring), IR-4 (Incident Handling)</w:t>
            </w:r>
          </w:p>
        </w:tc>
        <w:tc>
          <w:tcPr/>
          <w:p>
            <w:pPr>
              <w:pStyle w:val="Compact"/>
              <w:jc w:val="left"/>
            </w:pPr>
            <w:r>
              <w:t xml:space="preserve">V3 Evidence</w:t>
            </w:r>
          </w:p>
        </w:tc>
      </w:tr>
      <w:tr>
        <w:tc>
          <w:tcPr/>
          <w:p>
            <w:pPr>
              <w:pStyle w:val="Compact"/>
              <w:jc w:val="left"/>
            </w:pPr>
            <w:r>
              <w:rPr>
                <w:bCs/>
                <w:b/>
              </w:rPr>
              <w:t xml:space="preserve">V4: Modernization Atlas</w:t>
            </w:r>
          </w:p>
        </w:tc>
        <w:tc>
          <w:tcPr/>
          <w:p>
            <w:pPr>
              <w:pStyle w:val="Compact"/>
              <w:jc w:val="left"/>
            </w:pPr>
            <w:r>
              <w:rPr>
                <w:bCs/>
                <w:b/>
              </w:rPr>
              <w:t xml:space="preserve">Strategy</w:t>
            </w:r>
            <w:r>
              <w:t xml:space="preserve"> </w:t>
            </w:r>
            <w:r>
              <w:t xml:space="preserve">(The Journey)</w:t>
            </w:r>
          </w:p>
        </w:tc>
        <w:tc>
          <w:tcPr/>
          <w:p>
            <w:pPr>
              <w:pStyle w:val="Compact"/>
              <w:jc w:val="left"/>
            </w:pPr>
            <w:r>
              <w:rPr>
                <w:bCs/>
                <w:b/>
              </w:rPr>
              <w:t xml:space="preserve">Program Vision / TIC 3.0</w:t>
            </w:r>
          </w:p>
        </w:tc>
        <w:tc>
          <w:tcPr/>
          <w:p>
            <w:pPr>
              <w:pStyle w:val="Compact"/>
              <w:jc w:val="left"/>
            </w:pPr>
            <w:r>
              <w:t xml:space="preserve">V4 Evidence</w:t>
            </w:r>
          </w:p>
        </w:tc>
      </w:tr>
      <w:tr>
        <w:tc>
          <w:tcPr/>
          <w:p>
            <w:pPr>
              <w:pStyle w:val="Compact"/>
              <w:jc w:val="left"/>
            </w:pPr>
            <w:r>
              <w:rPr>
                <w:bCs/>
                <w:b/>
              </w:rPr>
              <w:t xml:space="preserve">V5: Cryptographic Trust Chain</w:t>
            </w:r>
          </w:p>
        </w:tc>
        <w:tc>
          <w:tcPr/>
          <w:p>
            <w:pPr>
              <w:pStyle w:val="Compact"/>
              <w:jc w:val="left"/>
            </w:pPr>
            <w:r>
              <w:rPr>
                <w:bCs/>
                <w:b/>
              </w:rPr>
              <w:t xml:space="preserve">Security</w:t>
            </w:r>
            <w:r>
              <w:t xml:space="preserve"> </w:t>
            </w:r>
            <w:r>
              <w:t xml:space="preserve">(The Lock)</w:t>
            </w:r>
          </w:p>
        </w:tc>
        <w:tc>
          <w:tcPr/>
          <w:p>
            <w:pPr>
              <w:pStyle w:val="Compact"/>
              <w:jc w:val="left"/>
            </w:pPr>
            <w:r>
              <w:rPr>
                <w:bCs/>
                <w:b/>
              </w:rPr>
              <w:t xml:space="preserve">SC-8 (Transmission Confidentiality)</w:t>
            </w:r>
          </w:p>
        </w:tc>
        <w:tc>
          <w:tcPr/>
          <w:p>
            <w:pPr>
              <w:pStyle w:val="Compact"/>
              <w:jc w:val="left"/>
            </w:pPr>
            <w:r>
              <w:t xml:space="preserve">V5 Evidence</w:t>
            </w:r>
          </w:p>
        </w:tc>
      </w:tr>
    </w:tbl>
    <w:p>
      <w:r>
        <w:pict>
          <v:rect style="width:0;height:1.5pt" o:hralign="center" o:hrstd="t" o:hr="t"/>
        </w:pict>
      </w:r>
    </w:p>
    <w:bookmarkStart w:id="46" w:name="unified-compliance-maturity-matrix"/>
    <w:p>
      <w:pPr>
        <w:pStyle w:val="Heading2"/>
      </w:pPr>
      <w:r>
        <w:t xml:space="preserve">🛡 Unified Compliance &amp; Maturity Matrix</w:t>
      </w:r>
    </w:p>
    <w:p>
      <w:pPr>
        <w:pStyle w:val="FirstParagraph"/>
      </w:pPr>
      <w:r>
        <w:t xml:space="preserve">The following table demonstrates the alignment of the UIAO project with both</w:t>
      </w:r>
      <w:r>
        <w:t xml:space="preserve"> </w:t>
      </w:r>
      <w:r>
        <w:rPr>
          <w:bCs/>
          <w:b/>
        </w:rPr>
        <w:t xml:space="preserve">CISA Zero Trust Maturity Model</w:t>
      </w:r>
      <w:r>
        <w:t xml:space="preserve"> </w:t>
      </w:r>
      <w:r>
        <w:t xml:space="preserve">pillars and</w:t>
      </w:r>
      <w:r>
        <w:t xml:space="preserve"> </w:t>
      </w:r>
      <w:r>
        <w:rPr>
          <w:bCs/>
          <w:b/>
        </w:rPr>
        <w:t xml:space="preserve">NIST 800-53 Rev. 5</w:t>
      </w:r>
      <w:r>
        <w:t xml:space="preserve"> </w:t>
      </w:r>
      <w:r>
        <w:t xml:space="preserve">security controls simultaneously.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UIAO Pillar</w:t>
            </w:r>
          </w:p>
        </w:tc>
        <w:tc>
          <w:tcPr/>
          <w:p>
            <w:pPr>
              <w:pStyle w:val="Compact"/>
              <w:jc w:val="left"/>
            </w:pPr>
            <w:r>
              <w:t xml:space="preserve">CISA ZT Pillar</w:t>
            </w:r>
          </w:p>
        </w:tc>
        <w:tc>
          <w:tcPr/>
          <w:p>
            <w:pPr>
              <w:pStyle w:val="Compact"/>
              <w:jc w:val="left"/>
            </w:pPr>
            <w:r>
              <w:t xml:space="preserve">Target Maturity</w:t>
            </w:r>
          </w:p>
        </w:tc>
        <w:tc>
          <w:tcPr/>
          <w:p>
            <w:pPr>
              <w:pStyle w:val="Compact"/>
              <w:jc w:val="left"/>
            </w:pPr>
            <w:r>
              <w:t xml:space="preserve">NIST 800-53 Controls</w:t>
            </w:r>
          </w:p>
        </w:tc>
        <w:tc>
          <w:tcPr/>
          <w:p>
            <w:pPr>
              <w:pStyle w:val="Compact"/>
              <w:jc w:val="left"/>
            </w:pPr>
            <w:r>
              <w:t xml:space="preserve">Mission Impact</w:t>
            </w:r>
          </w:p>
        </w:tc>
      </w:tr>
    </w:tbl>
    <w:p>
      <w:pPr>
        <w:pStyle w:val="BlockText"/>
      </w:pPr>
      <w:r>
        <w:rPr>
          <w:bCs/>
          <w:b/>
        </w:rPr>
        <w:t xml:space="preserve">Auditor Note:</w:t>
      </w:r>
      <w:r>
        <w:t xml:space="preserve"> </w:t>
      </w:r>
      <w:r>
        <w:t xml:space="preserve">All controls listed above are continuously monitored via the UIAO Governance Plane (V3) and reported through the ServiceNow SCuBA integration.</w:t>
      </w:r>
    </w:p>
    <w:p>
      <w:r>
        <w:pict>
          <v:rect style="width:0;height:1.5pt" o:hralign="center" o:hrstd="t" o:hr="t"/>
        </w:pict>
      </w:r>
    </w:p>
    <w:p>
      <w:pPr>
        <w:pStyle w:val="FirstParagraph"/>
      </w:pPr>
      <w:r>
        <w:rPr>
          <w:iCs/>
          <w:i/>
        </w:rPr>
        <w:t xml:space="preserve">End of Leadership Briefing v1.0</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Leadership Briefing</dc:title>
  <dc:creator/>
  <cp:keywords/>
  <dcterms:created xsi:type="dcterms:W3CDTF">2026-04-05T21:22:23Z</dcterms:created>
  <dcterms:modified xsi:type="dcterms:W3CDTF">2026-04-05T21:22:23Z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dience">
    <vt:lpwstr>CIO, CISO, CTO, PMO, Network Leadership, Identity Leadership</vt:lpwstr>
  </property>
  <property fmtid="{D5CDD505-2E9C-101B-9397-08002B2CF9AE}" pid="3" name="classification">
    <vt:lpwstr>CUI/FOUO</vt:lpwstr>
  </property>
  <property fmtid="{D5CDD505-2E9C-101B-9397-08002B2CF9AE}" pid="4" name="version">
    <vt:lpwstr>1.0</vt:lpwstr>
  </property>
</Properties>
</file>