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FedRAMP 20x Moderate Pilot — Impact Assessment on GCC-Moderate Telemetry and Boundary Modernization</w:t>
      </w:r>
    </w:p>
    <w:p>
      <w:r>
        <w:rPr>
          <w:b/>
        </w:rPr>
        <w:t xml:space="preserve">Document type: </w:t>
      </w:r>
      <w:r>
        <w:t>Assessment (external-use)</w:t>
        <w:br/>
      </w:r>
      <w:r>
        <w:rPr>
          <w:b/>
        </w:rPr>
        <w:t xml:space="preserve">Subject: </w:t>
      </w:r>
      <w:r>
        <w:t>FedRAMP 20x Moderate Pilot status, Key Security Indicators (KSIs), and the Minimum Assessment Scope Standard (RFC-0005)</w:t>
        <w:br/>
      </w:r>
      <w:r>
        <w:rPr>
          <w:b/>
        </w:rPr>
        <w:t xml:space="preserve">Date: </w:t>
      </w:r>
      <w:r>
        <w:t>2026-04-27</w:t>
        <w:br/>
      </w:r>
      <w:r>
        <w:rPr>
          <w:b/>
        </w:rPr>
        <w:t xml:space="preserve">Status: </w:t>
      </w:r>
      <w:r>
        <w:t>Snapshot — facts current as of publication date; verify against FedRAMP.gov</w:t>
        <w:br/>
      </w:r>
      <w:r>
        <w:rPr>
          <w:b/>
        </w:rPr>
        <w:t xml:space="preserve">Sources: </w:t>
      </w:r>
      <w:r>
        <w:t>All citations are linked at the end of this document.</w:t>
      </w:r>
    </w:p>
    <w:p/>
    <w:p>
      <w:r>
        <w:rPr>
          <w:b w:val="0"/>
          <w:i w:val="0"/>
        </w:rPr>
        <w:t>This memo assesses the FedRAMP 20x Moderate Pilot — now active — and its practical impact on (a) prior GCC-Moderate boundary and telemetry assessments and (b) modernization programs structured in phases. It is intended for external use by federal agency IT leadership, ISSOs, AOs, 3PAOs, and CSP partners assessing how 20x changes the boundary conversation.</w:t>
      </w:r>
    </w:p>
    <w:p>
      <w:pPr>
        <w:pStyle w:val="Heading1"/>
      </w:pPr>
      <w:r>
        <w:t>1. What 20x is, and what just entered Pilot</w:t>
      </w:r>
    </w:p>
    <w:p>
      <w:r>
        <w:rPr>
          <w:b w:val="0"/>
          <w:i w:val="0"/>
        </w:rPr>
        <w:t>FedRAMP 20x is the modernization track that replaces the assessment method, not the assessment scope. Two pieces matter operationally:</w:t>
      </w:r>
    </w:p>
    <w:p>
      <w:pPr>
        <w:pStyle w:val="ListBullet"/>
      </w:pPr>
      <w:r>
        <w:t>Minimum Assessment Scope Standard (RFC-0005) — the "what's in" rule. Replaces traditional boundary policy with a two-pronged inclusion test: an information resource is in scope if it (1) handles federal information, and/or (2) likely impacts confidentiality, integrity, or availability of federal information. Most metadata is explicitly out of scope.</w:t>
      </w:r>
    </w:p>
    <w:p>
      <w:pPr>
        <w:pStyle w:val="ListBullet"/>
      </w:pPr>
      <w:r>
        <w:t>Key Security Indicators (KSIs — Phase 1 RFC-0006, Phase 2 RFC-0014) — the "how it's measured" rule. Approximately 56 KSIs at Low baseline and 61 at Moderate baseline, organized into themes: KSI-CNA (cloud-native architecture), KSI-SVC (service configuration / encryption / integrity), KSI-IAM (identity, access, zero trust), KSI-MLA (monitoring, logging, audit), KSI-CMT (change management / continuous monitoring), KSI-AFR (FedRAMP-specific reporting), and others. KSIs sit above NIST 800-53 — each KSI maps to a control family, but the artifact a CSP produces is a machine-readable, continuously-validated evidence payload, not an SSP narrative.</w:t>
      </w:r>
    </w:p>
    <w:p>
      <w:r>
        <w:rPr>
          <w:b w:val="0"/>
          <w:i w:val="0"/>
        </w:rPr>
        <w:t>What entered Pilot most recently is the Moderate baseline. Phase Two formally began November 2025 and concludes by end of Q1 2026, with the public 20x Moderate path arriving in Q2 2026. Low has had Pilot authorizations for several months. Moderate Pilot is now the active surface for agencies and CSPs operating at FedRAMP Moderate.</w:t>
      </w:r>
    </w:p>
    <w:p>
      <w:pPr>
        <w:pStyle w:val="Heading1"/>
      </w:pPr>
      <w:r>
        <w:t>2. Impact on existing GCC-Moderate boundary and telemetry assessments</w:t>
      </w:r>
    </w:p>
    <w:p>
      <w:r>
        <w:rPr>
          <w:b/>
          <w:i w:val="0"/>
        </w:rPr>
        <w:t>Direct fix to documented telemetry gaps: low to nil today.</w:t>
      </w:r>
    </w:p>
    <w:p>
      <w:r>
        <w:rPr>
          <w:b w:val="0"/>
          <w:i w:val="0"/>
        </w:rPr>
        <w:t>Boundary-driven telemetry gap inventories — covering signals such as Microsoft Adoption Score, Informed Network Routing (INR), Endpoint Analytics Advanced, Entra Identity Protection ML, Continuous Access Evaluation, sensitivity-label and DLP behavioral analytics — remain gated by CSP engineering and product decisions in their government clouds. 20x changes the federal authorization framework; it does not by itself ship product features into a sovereign cloud. Until a CSP files a 20x-aligned package for its government offering, every row in such gap matrices stays operationally unchanged.</w:t>
      </w:r>
    </w:p>
    <w:p>
      <w:r>
        <w:rPr>
          <w:b/>
          <w:i w:val="0"/>
        </w:rPr>
        <w:t>Strategic / framework fix: substantial.</w:t>
      </w:r>
    </w:p>
    <w:p>
      <w:r>
        <w:rPr>
          <w:b w:val="0"/>
          <w:i w:val="0"/>
        </w:rPr>
        <w:t>What 20x does change is the negotiation surface:</w:t>
      </w:r>
    </w:p>
    <w:p>
      <w:pPr>
        <w:pStyle w:val="ListBullet"/>
      </w:pPr>
      <w:r>
        <w:t>The "metadata is out of scope" rule from RFC-0005, combined with the deterministic-telemetry framing in 20x companion guidance, gives synthetic and machine-generated network telemetry — latency, jitter, packet-loss, BGP path data, DNS resolution checks — a much cleaner home. Telemetry from external network observability platforms can now be expressed as KSI-MLA evidence rather than as bespoke compensating analytics.</w:t>
      </w:r>
    </w:p>
    <w:p>
      <w:pPr>
        <w:pStyle w:val="ListBullet"/>
      </w:pPr>
      <w:r>
        <w:t>Identity, data, and behavioral signals (e.g., Identity Protection ML, DLP behavioral analytics, sensitivity-label analytics) still fail prong (1) of the Minimum Assessment Scope test — they handle federal information directly. 20x does not rescue those.</w:t>
      </w:r>
    </w:p>
    <w:p>
      <w:pPr>
        <w:pStyle w:val="ListBullet"/>
      </w:pPr>
      <w:r>
        <w:t>The "telemetry paradox" — controls intended to protect federal information creating a shadow zone where advanced attack patterns thrive — is now formally acknowledged at the federal level. 20x's premise is that real-time machine-readable evidence is more secure than periodic written assessment. The structural argument for closing the observability gap now has top cover.</w:t>
      </w:r>
    </w:p>
    <w:p>
      <w:r>
        <w:rPr>
          <w:b w:val="0"/>
          <w:i w:val="0"/>
        </w:rPr>
        <w:t>Net. Existing assessments do not need to be rewritten. They benefit from a small forward-looking note: the framework movement under 20x is favorable for the Networks-pillar gaps and the deterministic-telemetry subset of Devices, but does not by itself close the identity / data / behavioral-analytics gaps; those remain CSP-roadmap items.</w:t>
      </w:r>
    </w:p>
    <w:p>
      <w:pPr>
        <w:pStyle w:val="Heading1"/>
      </w:pPr>
      <w:r>
        <w:t>3. Impact on phase-structured modernization programs</w:t>
      </w:r>
    </w:p>
    <w:p>
      <w:r>
        <w:rPr>
          <w:b w:val="0"/>
          <w:i w:val="0"/>
        </w:rPr>
        <w:t>The following table is written in terms of a six-phase modernization structure (Phase 0 strategic master plan; Phase 1 modernization mechanics; Phase 2 governance OS / continuous drift detection; Phase 3 optimization and continuous ATO; Phase 4 multi-agent governance; Phase 5 canon integration). Programs structured differently can read the magnitudes directly against equivalent stages.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Topic</w:t>
            </w:r>
          </w:p>
        </w:tc>
        <w:tc>
          <w:tcPr>
            <w:tcW w:type="dxa" w:w="2160"/>
          </w:tcPr>
          <w:p>
            <w:r>
              <w:t>20x impact</w:t>
            </w:r>
          </w:p>
        </w:tc>
        <w:tc>
          <w:tcPr>
            <w:tcW w:type="dxa" w:w="2160"/>
          </w:tcPr>
          <w:p>
            <w:r>
              <w:t>Magnitude</w:t>
            </w:r>
          </w:p>
        </w:tc>
      </w:tr>
      <w:tr>
        <w:tc>
          <w:tcPr>
            <w:tcW w:type="dxa" w:w="2160"/>
          </w:tcPr>
          <w:p>
            <w:r>
              <w:t>Phase 0 — Master Plan</w:t>
            </w:r>
          </w:p>
        </w:tc>
        <w:tc>
          <w:tcPr>
            <w:tcW w:type="dxa" w:w="2160"/>
          </w:tcPr>
          <w:p>
            <w:r>
              <w:t>Strategic framing, restoring telemetry visibility from boundary constraints</w:t>
            </w:r>
          </w:p>
        </w:tc>
        <w:tc>
          <w:tcPr>
            <w:tcW w:type="dxa" w:w="2160"/>
          </w:tcPr>
          <w:p>
            <w:r>
              <w:t>20x gives this goal federal grounding, not just operational ambition. The boundary-fight is replaced by a scope-and-KSI conversation.</w:t>
            </w:r>
          </w:p>
        </w:tc>
        <w:tc>
          <w:tcPr>
            <w:tcW w:type="dxa" w:w="2160"/>
          </w:tcPr>
          <w:p>
            <w:r>
              <w:t>Light — narrative refresh only</w:t>
            </w:r>
          </w:p>
        </w:tc>
      </w:tr>
      <w:tr>
        <w:tc>
          <w:tcPr>
            <w:tcW w:type="dxa" w:w="2160"/>
          </w:tcPr>
          <w:p>
            <w:r>
              <w:t>Phase 1 — Modernization Mechanics</w:t>
            </w:r>
          </w:p>
        </w:tc>
        <w:tc>
          <w:tcPr>
            <w:tcW w:type="dxa" w:w="2160"/>
          </w:tcPr>
          <w:p>
            <w:r>
              <w:t>Identity, device, policy, compliance modernization for GCC-Moderate; boundary-resolution considerations</w:t>
            </w:r>
          </w:p>
        </w:tc>
        <w:tc>
          <w:tcPr>
            <w:tcW w:type="dxa" w:w="2160"/>
          </w:tcPr>
          <w:p>
            <w:r>
              <w:t>The boundary-resolution text shrinks: it stops being an ad hoc argument and becomes a Minimum Assessment Scope mapping exercise.</w:t>
            </w:r>
          </w:p>
        </w:tc>
        <w:tc>
          <w:tcPr>
            <w:tcW w:type="dxa" w:w="2160"/>
          </w:tcPr>
          <w:p>
            <w:r>
              <w:t>Modest — section rewrite, not section deletion</w:t>
            </w:r>
          </w:p>
        </w:tc>
      </w:tr>
      <w:tr>
        <w:tc>
          <w:tcPr>
            <w:tcW w:type="dxa" w:w="2160"/>
          </w:tcPr>
          <w:p>
            <w:r>
              <w:t>Phase 2 — Governance OS</w:t>
            </w:r>
          </w:p>
        </w:tc>
        <w:tc>
          <w:tcPr>
            <w:tcW w:type="dxa" w:w="2160"/>
          </w:tcPr>
          <w:p>
            <w:r>
              <w:t>Continuous drift detection, remediation orchestration, provenance, cross-plane telemetry ingestion</w:t>
            </w:r>
          </w:p>
        </w:tc>
        <w:tc>
          <w:tcPr>
            <w:tcW w:type="dxa" w:w="2160"/>
          </w:tcPr>
          <w:p>
            <w:r>
              <w:t>Strongest alignment. The substrate emits exactly the kind of machine-readable evidence that KSI-MLA and KSI-CMT consume. Phase 2 should explicitly enumerate which KSIs the substrate produces and which it ingests.</w:t>
            </w:r>
          </w:p>
        </w:tc>
        <w:tc>
          <w:tcPr>
            <w:tcW w:type="dxa" w:w="2160"/>
          </w:tcPr>
          <w:p>
            <w:r>
              <w:t>High — material new content; KSI-to-substrate mapping table</w:t>
            </w:r>
          </w:p>
        </w:tc>
      </w:tr>
      <w:tr>
        <w:tc>
          <w:tcPr>
            <w:tcW w:type="dxa" w:w="2160"/>
          </w:tcPr>
          <w:p>
            <w:r>
              <w:t>Phase 3 — Optimization &amp; cATO</w:t>
            </w:r>
          </w:p>
        </w:tc>
        <w:tc>
          <w:tcPr>
            <w:tcW w:type="dxa" w:w="2160"/>
          </w:tcPr>
          <w:p>
            <w:r>
              <w:t>Continuous ATO alignment, validation, resilience, evidence model</w:t>
            </w:r>
          </w:p>
        </w:tc>
        <w:tc>
          <w:tcPr>
            <w:tcW w:type="dxa" w:w="2160"/>
          </w:tcPr>
          <w:p>
            <w:r>
              <w:t>Direct intercept. 20x is the federal ratification of cATO. Phase 3 should retarget against KSI-driven cATO with a concrete crosswalk: each evidence stream maps to one or more KSIs.</w:t>
            </w:r>
          </w:p>
        </w:tc>
        <w:tc>
          <w:tcPr>
            <w:tcW w:type="dxa" w:w="2160"/>
          </w:tcPr>
          <w:p>
            <w:r>
              <w:t>High — phase scope and outcomes redefined against 20x rather than generic cATO</w:t>
            </w:r>
          </w:p>
        </w:tc>
      </w:tr>
      <w:tr>
        <w:tc>
          <w:tcPr>
            <w:tcW w:type="dxa" w:w="2160"/>
          </w:tcPr>
          <w:p>
            <w:r>
              <w:t>Phase 4 — Multi-Agent Governance</w:t>
            </w:r>
          </w:p>
        </w:tc>
        <w:tc>
          <w:tcPr>
            <w:tcW w:type="dxa" w:w="2160"/>
          </w:tcPr>
          <w:p>
            <w:r>
              <w:t>Agent topology, drift intelligence</w:t>
            </w:r>
          </w:p>
        </w:tc>
        <w:tc>
          <w:tcPr>
            <w:tcW w:type="dxa" w:w="2160"/>
          </w:tcPr>
          <w:p>
            <w:r>
              <w:t>KSIs are a standardized inter-agent payload — agents can hand off KSI-shaped evidence as a common substrate. Enabling, not transformative.</w:t>
            </w:r>
          </w:p>
        </w:tc>
        <w:tc>
          <w:tcPr>
            <w:tcW w:type="dxa" w:w="2160"/>
          </w:tcPr>
          <w:p>
            <w:r>
              <w:t>Minor — payload-format alignment note</w:t>
            </w:r>
          </w:p>
        </w:tc>
      </w:tr>
      <w:tr>
        <w:tc>
          <w:tcPr>
            <w:tcW w:type="dxa" w:w="2160"/>
          </w:tcPr>
          <w:p>
            <w:r>
              <w:t>Phase 5 — Canon Integration</w:t>
            </w:r>
          </w:p>
        </w:tc>
        <w:tc>
          <w:tcPr>
            <w:tcW w:type="dxa" w:w="2160"/>
          </w:tcPr>
          <w:p>
            <w:r>
              <w:t>Canon Integration Index, lifecycle states, evidence archival</w:t>
            </w:r>
          </w:p>
        </w:tc>
        <w:tc>
          <w:tcPr>
            <w:tcW w:type="dxa" w:w="2160"/>
          </w:tcPr>
          <w:p>
            <w:r>
              <w:t>Canon gains a new column: KSI emission identity. Lifecycle states gain a "20x evidence current / stale / superseded" axis on top of existing canon lifecycle.</w:t>
            </w:r>
          </w:p>
        </w:tc>
        <w:tc>
          <w:tcPr>
            <w:tcW w:type="dxa" w:w="2160"/>
          </w:tcPr>
          <w:p>
            <w:r>
              <w:t>Minor — structural addition to the Canon Integration Index</w:t>
            </w:r>
          </w:p>
        </w:tc>
      </w:tr>
    </w:tbl>
    <w:p/>
    <w:p>
      <w:r>
        <w:rPr>
          <w:b/>
          <w:i w:val="0"/>
        </w:rPr>
        <w:t>Headline.</w:t>
      </w:r>
    </w:p>
    <w:p>
      <w:r>
        <w:rPr>
          <w:b w:val="0"/>
          <w:i w:val="0"/>
        </w:rPr>
        <w:t>20x doesn't displace a phase-structured modernization program; it legitimizes most of what such a program already designs at the governance-OS and continuous-ATO stages. The drift engine, evidence graph, and provenance chain stay unchanged technically. What changes is that the program can now speak to the federal framework natively via KSIs rather than translating into bespoke SSP language.</w:t>
      </w:r>
    </w:p>
    <w:p>
      <w:pPr>
        <w:pStyle w:val="Heading1"/>
      </w:pPr>
      <w:r>
        <w:t>4. Adoption recommendations for organizations on FedRAMP Moderate</w:t>
      </w:r>
    </w:p>
    <w:p>
      <w:pPr>
        <w:pStyle w:val="ListBullet"/>
      </w:pPr>
      <w:r>
        <w:t>Inventory existing telemetry and audit-evidence producers against the KSI catalog — particularly KSI-MLA (monitoring/logging/audit) and KSI-CMT (change management / continuous monitoring). Identify which controls already produce machine-readable evidence and which still rely on human assertions.</w:t>
      </w:r>
    </w:p>
    <w:p>
      <w:pPr>
        <w:pStyle w:val="ListBullet"/>
      </w:pPr>
      <w:r>
        <w:t>Apply the Minimum Assessment Scope test to existing boundary diagrams: tag each information resource as in-scope (handles federal information or likely impacts CIA) or out-of-scope (most metadata, agency-side agents and clients per RFC-0005 §D).</w:t>
      </w:r>
    </w:p>
    <w:p>
      <w:pPr>
        <w:pStyle w:val="ListBullet"/>
      </w:pPr>
      <w:r>
        <w:t>Distinguish recoverable network/deterministic telemetry from non-recoverable identity/behavioral telemetry when planning compensating investments. Synthetic monitoring and machine-generated path metrics fit cleanly under 20x; user-behavior analytics and ML-driven risk scoring still require CSP product action.</w:t>
      </w:r>
    </w:p>
    <w:p>
      <w:pPr>
        <w:pStyle w:val="ListBullet"/>
      </w:pPr>
      <w:r>
        <w:t>Track companion guidance as it lands: RFC-0010 best-practices guidance, RFC-0024 Rev5 machine-readable packages, and the Phase Two KSI specification under RFC-0014.</w:t>
      </w:r>
    </w:p>
    <w:p>
      <w:pPr>
        <w:pStyle w:val="ListBullet"/>
      </w:pPr>
      <w:r>
        <w:t>Engage the FedRAMP comment process when companion guidance is open. Telemetry, APM, and metadata definitions were raised in RFC-0005 comments and not addressed before closure; the metadata-vs-telemetry definition is the single most consequential interpretive question for Moderate-baseline observability.</w:t>
      </w:r>
    </w:p>
    <w:p>
      <w:pPr>
        <w:pStyle w:val="Heading1"/>
      </w:pPr>
      <w:r>
        <w:t>5. Caveats and limits of this assessment</w:t>
      </w:r>
    </w:p>
    <w:p>
      <w:pPr>
        <w:pStyle w:val="ListBullet"/>
      </w:pPr>
      <w:r>
        <w:t>20x is in active rollout. Numbers (KSI counts, baselines, dates) are snapshot facts current as of the document date; verify against the FedRAMP.gov primary sources cited below.</w:t>
      </w:r>
    </w:p>
    <w:p>
      <w:pPr>
        <w:pStyle w:val="ListBullet"/>
      </w:pPr>
      <w:r>
        <w:t>No specific CSP's 20x package status for sovereign-cloud offerings (GCC, GCC-High, DoD, Government) is asserted in this memo. Filings are CSP decisions and must be confirmed directly.</w:t>
      </w:r>
    </w:p>
    <w:p>
      <w:pPr>
        <w:pStyle w:val="ListBullet"/>
      </w:pPr>
      <w:r>
        <w:t>The "likely impact" inclusion test in RFC-0005 is intentionally broad. 3PAO interpretation drift is a primary risk and a primary opportunity: the same signal could be in-scope for one CSP and out-of-scope for another until companion guidance lands.</w:t>
      </w:r>
    </w:p>
    <w:p>
      <w:pPr>
        <w:pStyle w:val="ListBullet"/>
      </w:pPr>
      <w:r>
        <w:t>This memo does not assert pricing or procurement positions for any third-party network observability or compensating-control vendor.</w:t>
      </w:r>
    </w:p>
    <w:p>
      <w:pPr>
        <w:pStyle w:val="Heading1"/>
      </w:pPr>
      <w:r>
        <w:t>6. Sources</w:t>
      </w:r>
    </w:p>
    <w:p>
      <w:pPr>
        <w:pStyle w:val="ListBullet"/>
      </w:pPr>
      <w:hyperlink r:id="rId9">
        <w:r>
          <w:rPr>
            <w:color w:val="0563C1"/>
            <w:u w:val="single"/>
          </w:rPr>
          <w:t xml:space="preserve">FedRAMP 20x Overview (gov)</w:t>
        </w:r>
      </w:hyperlink>
    </w:p>
    <w:p>
      <w:pPr>
        <w:pStyle w:val="ListBullet"/>
      </w:pPr>
      <w:hyperlink r:id="rId10">
        <w:r>
          <w:rPr>
            <w:color w:val="0563C1"/>
            <w:u w:val="single"/>
          </w:rPr>
          <w:t xml:space="preserve">FedRAMP 20x Documentation index</w:t>
        </w:r>
      </w:hyperlink>
    </w:p>
    <w:p>
      <w:pPr>
        <w:pStyle w:val="ListBullet"/>
      </w:pPr>
      <w:hyperlink r:id="rId11">
        <w:r>
          <w:rPr>
            <w:color w:val="0563C1"/>
            <w:u w:val="single"/>
          </w:rPr>
          <w:t xml:space="preserve">Key Security Indicators — FedRAMP 20x docs</w:t>
        </w:r>
      </w:hyperlink>
    </w:p>
    <w:p>
      <w:pPr>
        <w:pStyle w:val="ListBullet"/>
      </w:pPr>
      <w:hyperlink r:id="rId12">
        <w:r>
          <w:rPr>
            <w:color w:val="0563C1"/>
            <w:u w:val="single"/>
          </w:rPr>
          <w:t xml:space="preserve">Key Security Indicators (alternate path)</w:t>
        </w:r>
      </w:hyperlink>
    </w:p>
    <w:p>
      <w:pPr>
        <w:pStyle w:val="ListBullet"/>
      </w:pPr>
      <w:hyperlink r:id="rId13">
        <w:r>
          <w:rPr>
            <w:color w:val="0563C1"/>
            <w:u w:val="single"/>
          </w:rPr>
          <w:t xml:space="preserve">FedRAMP 20x Phase One overview</w:t>
        </w:r>
      </w:hyperlink>
    </w:p>
    <w:p>
      <w:pPr>
        <w:pStyle w:val="ListBullet"/>
      </w:pPr>
      <w:hyperlink r:id="rId14">
        <w:r>
          <w:rPr>
            <w:color w:val="0563C1"/>
            <w:u w:val="single"/>
          </w:rPr>
          <w:t xml:space="preserve">RFC-0005 Minimum Assessment Scope Standard</w:t>
        </w:r>
      </w:hyperlink>
    </w:p>
    <w:p>
      <w:pPr>
        <w:pStyle w:val="ListBullet"/>
      </w:pPr>
      <w:hyperlink r:id="rId15">
        <w:r>
          <w:rPr>
            <w:color w:val="0563C1"/>
            <w:u w:val="single"/>
          </w:rPr>
          <w:t xml:space="preserve">RFC-0005 Community Discussion (closed comment thread, verbatim standard text and comments)</w:t>
        </w:r>
      </w:hyperlink>
    </w:p>
    <w:p>
      <w:pPr>
        <w:pStyle w:val="ListBullet"/>
      </w:pPr>
      <w:hyperlink r:id="rId16">
        <w:r>
          <w:rPr>
            <w:color w:val="0563C1"/>
            <w:u w:val="single"/>
          </w:rPr>
          <w:t xml:space="preserve">RFC-0006 20x Phase One Key Security Indicators</w:t>
        </w:r>
      </w:hyperlink>
    </w:p>
    <w:p>
      <w:pPr>
        <w:pStyle w:val="ListBullet"/>
      </w:pPr>
      <w:hyperlink r:id="rId17">
        <w:r>
          <w:rPr>
            <w:color w:val="0563C1"/>
            <w:u w:val="single"/>
          </w:rPr>
          <w:t xml:space="preserve">RFC-0014 Phase Two Key Security Indicators</w:t>
        </w:r>
      </w:hyperlink>
    </w:p>
    <w:p>
      <w:pPr>
        <w:pStyle w:val="ListBullet"/>
      </w:pPr>
      <w:hyperlink r:id="rId18">
        <w:r>
          <w:rPr>
            <w:color w:val="0563C1"/>
            <w:u w:val="single"/>
          </w:rPr>
          <w:t xml:space="preserve">RFC-0024 FedRAMP Rev5 Machine-Readable Packages</w:t>
        </w:r>
      </w:hyperlink>
    </w:p>
    <w:p>
      <w:pPr>
        <w:pStyle w:val="ListBullet"/>
      </w:pPr>
      <w:hyperlink r:id="rId19">
        <w:r>
          <w:rPr>
            <w:color w:val="0563C1"/>
            <w:u w:val="single"/>
          </w:rPr>
          <w:t xml:space="preserve">FedRAMP RFCs index (open and closed)</w:t>
        </w:r>
      </w:hyperlink>
    </w:p>
    <w:p>
      <w:pPr>
        <w:pStyle w:val="ListBullet"/>
      </w:pPr>
      <w:hyperlink r:id="rId20">
        <w:r>
          <w:rPr>
            <w:color w:val="0563C1"/>
            <w:u w:val="single"/>
          </w:rPr>
          <w:t xml:space="preserve">Initial Outcome from RFC-0021 Expanding the FedRAMP Marketplace</w:t>
        </w:r>
      </w:hyperlink>
    </w:p>
    <w:p>
      <w:pPr>
        <w:pStyle w:val="ListBullet"/>
      </w:pPr>
      <w:hyperlink r:id="rId21">
        <w:r>
          <w:rPr>
            <w:color w:val="0563C1"/>
            <w:u w:val="single"/>
          </w:rPr>
          <w:t xml:space="preserve">Initial Outcome from RFC-0022 Leveraging External Frameworks</w:t>
        </w:r>
      </w:hyperlink>
    </w:p>
    <w:p>
      <w:pPr>
        <w:pStyle w:val="ListBullet"/>
      </w:pPr>
      <w:hyperlink r:id="rId22">
        <w:r>
          <w:rPr>
            <w:color w:val="0563C1"/>
            <w:u w:val="single"/>
          </w:rPr>
          <w:t xml:space="preserve">Initial Outcome from RFC-0024 Rev5 Machine-Readable Packages</w:t>
        </w:r>
      </w:hyperlink>
    </w:p>
    <w:p>
      <w:pPr>
        <w:pStyle w:val="ListBullet"/>
      </w:pPr>
      <w:hyperlink r:id="rId23">
        <w:r>
          <w:rPr>
            <w:color w:val="0563C1"/>
            <w:u w:val="single"/>
          </w:rPr>
          <w:t xml:space="preserve">FedRAMP — Realizing the FedRAMP Authorization Act (Jan 2026)</w:t>
        </w:r>
      </w:hyperlink>
    </w:p>
    <w:p>
      <w:pPr>
        <w:pStyle w:val="ListBullet"/>
      </w:pPr>
      <w:hyperlink r:id="rId24">
        <w:r>
          <w:rPr>
            <w:color w:val="0563C1"/>
            <w:u w:val="single"/>
          </w:rPr>
          <w:t xml:space="preserve">FedRAMP 20x — One Month In and Moving Fast (Apr 2025)</w:t>
        </w:r>
      </w:hyperlink>
    </w:p>
    <w:p>
      <w:pPr>
        <w:pStyle w:val="ListBullet"/>
      </w:pPr>
      <w:hyperlink r:id="rId25">
        <w:r>
          <w:rPr>
            <w:color w:val="0563C1"/>
            <w:u w:val="single"/>
          </w:rPr>
          <w:t xml:space="preserve">FedRAMP Changelog</w:t>
        </w:r>
      </w:hyperlink>
    </w:p>
    <w:p/>
    <w:p>
      <w:r>
        <w:rPr>
          <w:i/>
        </w:rPr>
        <w:t>Snapshot assessment for external use. FedRAMP 20x is in active rollout; all framework facts cited herein should be verified against the live FedRAMP.gov primary sources before being relied on for authorization decisions, procurement, or 3PAO assessment scope. No legal or contractual advice is provided by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edramp.gov/20x/" TargetMode="External"/><Relationship Id="rId10" Type="http://schemas.openxmlformats.org/officeDocument/2006/relationships/hyperlink" Target="https://www.fedramp.gov/docs/20x/" TargetMode="External"/><Relationship Id="rId11" Type="http://schemas.openxmlformats.org/officeDocument/2006/relationships/hyperlink" Target="https://www.fedramp.gov/docs/20x/key-security-indicators/" TargetMode="External"/><Relationship Id="rId12" Type="http://schemas.openxmlformats.org/officeDocument/2006/relationships/hyperlink" Target="https://www.fedramp.gov/docs/key-security-indicators/" TargetMode="External"/><Relationship Id="rId13" Type="http://schemas.openxmlformats.org/officeDocument/2006/relationships/hyperlink" Target="https://www.fedramp.gov/20x/phase-one/" TargetMode="External"/><Relationship Id="rId14" Type="http://schemas.openxmlformats.org/officeDocument/2006/relationships/hyperlink" Target="https://www.fedramp.gov/rfcs/0005/" TargetMode="External"/><Relationship Id="rId15" Type="http://schemas.openxmlformats.org/officeDocument/2006/relationships/hyperlink" Target="https://github.com/FedRAMP/community/discussions/2" TargetMode="External"/><Relationship Id="rId16" Type="http://schemas.openxmlformats.org/officeDocument/2006/relationships/hyperlink" Target="https://www.fedramp.gov/rfcs/0006/" TargetMode="External"/><Relationship Id="rId17" Type="http://schemas.openxmlformats.org/officeDocument/2006/relationships/hyperlink" Target="https://www.fedramp.gov/rfcs/0014/" TargetMode="External"/><Relationship Id="rId18" Type="http://schemas.openxmlformats.org/officeDocument/2006/relationships/hyperlink" Target="https://www.fedramp.gov/rfcs/0024/" TargetMode="External"/><Relationship Id="rId19" Type="http://schemas.openxmlformats.org/officeDocument/2006/relationships/hyperlink" Target="https://www.fedramp.gov/rfcs/" TargetMode="External"/><Relationship Id="rId20" Type="http://schemas.openxmlformats.org/officeDocument/2006/relationships/hyperlink" Target="https://www.fedramp.gov/notices/0005/" TargetMode="External"/><Relationship Id="rId21" Type="http://schemas.openxmlformats.org/officeDocument/2006/relationships/hyperlink" Target="https://www.fedramp.gov/notices/0007/" TargetMode="External"/><Relationship Id="rId22" Type="http://schemas.openxmlformats.org/officeDocument/2006/relationships/hyperlink" Target="https://www.fedramp.gov/notices/0009/" TargetMode="External"/><Relationship Id="rId23" Type="http://schemas.openxmlformats.org/officeDocument/2006/relationships/hyperlink" Target="https://www.fedramp.gov/2026-01-13-realizing-the-fedramp-authorization-act/" TargetMode="External"/><Relationship Id="rId24" Type="http://schemas.openxmlformats.org/officeDocument/2006/relationships/hyperlink" Target="https://www.fedramp.gov/2025-04-24-fedramp-20x-one-month-in-and-moving-fast/" TargetMode="External"/><Relationship Id="rId25" Type="http://schemas.openxmlformats.org/officeDocument/2006/relationships/hyperlink" Target="https://www.fedramp.gov/change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