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GCC-Moderate Boundary Assessment &amp; ThousandEyes Workaround Analysis</w:t>
      </w:r>
    </w:p>
    <w:p>
      <w:r>
        <w:rPr>
          <w:b/>
        </w:rPr>
        <w:t xml:space="preserve">Document type: </w:t>
      </w:r>
      <w:r>
        <w:t>Assessment-only response (no build steps proposed)</w:t>
        <w:br/>
      </w:r>
      <w:r>
        <w:rPr>
          <w:b/>
        </w:rPr>
        <w:t xml:space="preserve">Scope: </w:t>
      </w:r>
      <w:r>
        <w:t>FedRAMP Moderate (M365 GCC-Moderate / Intune / Azure)</w:t>
        <w:br/>
      </w:r>
      <w:r>
        <w:rPr>
          <w:b/>
        </w:rPr>
        <w:t xml:space="preserve">Companion to: </w:t>
      </w:r>
      <w:r>
        <w:t>M365 GCC-Moderate Telemetry &amp; Boundary Assessment v1.0 (combined)</w:t>
        <w:br/>
      </w:r>
      <w:r>
        <w:rPr>
          <w:b/>
        </w:rPr>
        <w:t xml:space="preserve">Date: </w:t>
      </w:r>
      <w:r>
        <w:t>2026-04-26</w:t>
        <w:br/>
      </w:r>
      <w:r>
        <w:rPr>
          <w:b/>
        </w:rPr>
        <w:t xml:space="preserve">Owner: </w:t>
      </w:r>
      <w:r>
        <w:t>Michael Stratton, Canon Steward</w:t>
        <w:br/>
      </w:r>
      <w:r>
        <w:rPr>
          <w:b/>
        </w:rPr>
        <w:t xml:space="preserve">Protocol: </w:t>
      </w:r>
      <w:r>
        <w:t>UIAO NO-HALLUCINATION PROTOCOL — Inferred / Confirmed labeling preserved</w:t>
      </w:r>
    </w:p>
    <w:p/>
    <w:p>
      <w:r>
        <w:rPr>
          <w:b w:val="0"/>
          <w:i w:val="0"/>
        </w:rPr>
        <w:t>This memo answers three questions posed against the M365 GCC-Moderate Telemetry &amp; Boundary Assessment (v1.0 combined). It applies the same "false-negative" reverse-inference framework and Inferred / Confirmed labeling used in the source document. No build steps are proposed.</w:t>
      </w:r>
    </w:p>
    <w:p>
      <w:pPr>
        <w:pStyle w:val="Heading1"/>
      </w:pPr>
      <w:r>
        <w:t>1. Can a live GCC-Moderate boundary assessment cover M365, Intune, and Azure?</w:t>
      </w:r>
    </w:p>
    <w:p>
      <w:r>
        <w:rPr>
          <w:b w:val="0"/>
          <w:i w:val="0"/>
        </w:rPr>
        <w:t>Yes, but with three different boundary postures that must not be conflated. The current document infers a great deal from architecture; live access lets you flip rows from Inferred to Confirmed/Refuted.</w:t>
      </w:r>
    </w:p>
    <w:p>
      <w:pPr>
        <w:pStyle w:val="Heading2"/>
      </w:pPr>
      <w:r>
        <w:t>1.1 M365 GCC-Moderate (.com)</w:t>
      </w:r>
    </w:p>
    <w:p>
      <w:r>
        <w:rPr>
          <w:b w:val="0"/>
          <w:i w:val="0"/>
        </w:rPr>
        <w:t>This is the boundary the document is scoped to. Live, you can directly verify every Section 5 row by:</w:t>
      </w:r>
    </w:p>
    <w:p>
      <w:pPr>
        <w:pStyle w:val="ListBullet"/>
      </w:pPr>
      <w:r>
        <w:t>Hitting Microsoft 365 Admin Center → Adoption Score (expect the explicit "not available" banner — confirms §2.1).</w:t>
      </w:r>
    </w:p>
    <w:p>
      <w:pPr>
        <w:pStyle w:val="ListBullet"/>
      </w:pPr>
      <w:r>
        <w:t>Attempting INR enablement in Teams / M365 Admin (expect the feature surface to be absent — confirms §2.2).</w:t>
      </w:r>
    </w:p>
    <w:p>
      <w:pPr>
        <w:pStyle w:val="ListBullet"/>
      </w:pPr>
      <w:r>
        <w:t>Loading Intune → Reports → Endpoint Analytics → Advanced Analytics (expect 403 / "not available in your region" — would convert §3.1 from Inferred to Confirmed).</w:t>
      </w:r>
    </w:p>
    <w:p>
      <w:pPr>
        <w:pStyle w:val="ListBullet"/>
      </w:pPr>
      <w:r>
        <w:t>Running the §13.3 KQL in Sentinel to validate diagnostic-setting completeness against the §10.2 scorecard.</w:t>
      </w:r>
    </w:p>
    <w:p>
      <w:pPr>
        <w:pStyle w:val="ListBullet"/>
      </w:pPr>
      <w:r>
        <w:t>Reading xms_cc claim presence in issued tokens to confirm whether CAE is at least negotiated (§5.4).</w:t>
      </w:r>
    </w:p>
    <w:p>
      <w:pPr>
        <w:pStyle w:val="ListBullet"/>
      </w:pPr>
      <w:r>
        <w:t>Required access: Global Reader + Security Reader + Reports Reader + Compliance Administrator + Log Analytics Reader. No write access needed for assessment.</w:t>
      </w:r>
    </w:p>
    <w:p>
      <w:pPr>
        <w:pStyle w:val="Heading2"/>
      </w:pPr>
      <w:r>
        <w:t>1.2 Intune (GCC-Moderate)</w:t>
      </w:r>
    </w:p>
    <w:p>
      <w:r>
        <w:rPr>
          <w:b w:val="0"/>
          <w:i w:val="0"/>
        </w:rPr>
        <w:t>Treated correctly in the document as a sibling tenant, not a sub-feature of M365. Live tests:</w:t>
      </w:r>
    </w:p>
    <w:p>
      <w:pPr>
        <w:pStyle w:val="ListBullet"/>
      </w:pPr>
      <w:r>
        <w:t>intune.microsoft.com tenant URL surface — confirms tenant class.</w:t>
      </w:r>
    </w:p>
    <w:p>
      <w:pPr>
        <w:pStyle w:val="ListBullet"/>
      </w:pPr>
      <w:r>
        <w:t>Get-MgDeviceManagement… Graph queries to enumerate which advanced-analytics endpoints actually return data vs. 404.</w:t>
      </w:r>
    </w:p>
    <w:p>
      <w:pPr>
        <w:pStyle w:val="ListBullet"/>
      </w:pPr>
      <w:r>
        <w:t>DCR inspection for the Win32 detection-event filtering noted in SYM-004.</w:t>
      </w:r>
    </w:p>
    <w:p>
      <w:pPr>
        <w:pStyle w:val="Heading2"/>
      </w:pPr>
      <w:r>
        <w:t>1.3 Azure</w:t>
      </w:r>
    </w:p>
    <w:p>
      <w:r>
        <w:rPr>
          <w:b w:val="0"/>
          <w:i w:val="0"/>
        </w:rPr>
        <w:t>This is the gap in the current document — "Azure" is not separately scoped. Before assessing, you must disambiguate:</w:t>
      </w:r>
    </w:p>
    <w:p>
      <w:pPr>
        <w:pStyle w:val="ListBullet"/>
      </w:pPr>
      <w:r>
        <w:t>Azure Commercial under a FedRAMP Moderate ATO (most common pairing with GCC-Moderate M365). Assess via Defender for Cloud → Regulatory Compliance → FedRAMP Moderate built-in initiative, plus subscription-scope Policy assignments enforcing US-only regions, private endpoints, and diagnostic-export destinations staying in-boundary.</w:t>
      </w:r>
    </w:p>
    <w:p>
      <w:pPr>
        <w:pStyle w:val="ListBullet"/>
      </w:pPr>
      <w:r>
        <w:t>Azure Government (.us) — out of scope per the document's own purity rule; findings here cannot be imported.</w:t>
      </w:r>
    </w:p>
    <w:p>
      <w:pPr>
        <w:pStyle w:val="ListBullet"/>
      </w:pPr>
      <w:r>
        <w:t>Hybrid (M365 GCC-Moderate + Azure Commercial workload subs) — boundary diagram needs to show the trust edge between them, particularly for Entra ID (which is the same identity plane) and for log shipping into Sentinel workspaces (workspace residency matters).</w:t>
      </w:r>
    </w:p>
    <w:p>
      <w:pPr>
        <w:pStyle w:val="Heading2"/>
      </w:pPr>
      <w:r>
        <w:t>1.4 Assessment limit</w:t>
      </w:r>
    </w:p>
    <w:p>
      <w:r>
        <w:rPr>
          <w:b w:val="0"/>
          <w:i w:val="0"/>
        </w:rPr>
        <w:t>Live access converts inference to evidence for availability questions. It does not by itself measure the fidelity loss in §6 — that requires either a side-by-side commercial tenant comparison (which most agencies cannot legally stand up) or AI-synthesized estimates the document already labels as such in §14.</w:t>
      </w:r>
    </w:p>
    <w:p>
      <w:pPr>
        <w:pStyle w:val="Heading1"/>
      </w:pPr>
      <w:r>
        <w:t>2. Does ThousandEyes "wire up" a real way around the missing telemetry?</w:t>
      </w:r>
    </w:p>
    <w:p>
      <w:r>
        <w:rPr>
          <w:b w:val="0"/>
          <w:i w:val="0"/>
        </w:rPr>
        <w:t>Partially, and only for one pillar. Honest mapping of ThousandEyes capability against the §6 gap matrix:</w:t>
      </w:r>
    </w:p>
    <w:tbl>
      <w:tblPr>
        <w:tblStyle w:val="LightGrid-Accent1"/>
        <w:tblW w:type="auto" w:w="0"/>
        <w:tblLook w:firstColumn="1" w:firstRow="1" w:lastColumn="0" w:lastRow="0" w:noHBand="0" w:noVBand="1" w:val="04A0"/>
      </w:tblPr>
      <w:tblGrid>
        <w:gridCol w:w="4320"/>
        <w:gridCol w:w="4320"/>
      </w:tblGrid>
      <w:tr>
        <w:tc>
          <w:tcPr>
            <w:tcW w:type="dxa" w:w="4320"/>
          </w:tcPr>
          <w:p>
            <w:r>
              <w:t>Gap area</w:t>
            </w:r>
          </w:p>
        </w:tc>
        <w:tc>
          <w:tcPr>
            <w:tcW w:type="dxa" w:w="4320"/>
          </w:tcPr>
          <w:p>
            <w:r>
              <w:t>Can ThousandEyes substitute?</w:t>
            </w:r>
          </w:p>
        </w:tc>
      </w:tr>
      <w:tr>
        <w:tc>
          <w:tcPr>
            <w:tcW w:type="dxa" w:w="4320"/>
          </w:tcPr>
          <w:p>
            <w:r>
              <w:t>INR real-time path metrics (latency / jitter / packet-loss to M365 front doors)</w:t>
            </w:r>
          </w:p>
        </w:tc>
        <w:tc>
          <w:tcPr>
            <w:tcW w:type="dxa" w:w="4320"/>
          </w:tcPr>
          <w:p>
            <w:r>
              <w:t>Yes — closest thing to a real substitute. Synthetic, not per-user-session, but genuine network measurement from Cloud + Enterprise + Endpoint Agents.</w:t>
            </w:r>
          </w:p>
        </w:tc>
      </w:tr>
      <w:tr>
        <w:tc>
          <w:tcPr>
            <w:tcW w:type="dxa" w:w="4320"/>
          </w:tcPr>
          <w:p>
            <w:r>
              <w:t>MITM / BGP hijack / DNS manipulation (§7.4 Chain B)</w:t>
            </w:r>
          </w:p>
        </w:tc>
        <w:tc>
          <w:tcPr>
            <w:tcW w:type="dxa" w:w="4320"/>
          </w:tcPr>
          <w:p>
            <w:r>
              <w:t>Yes — strong fit. BGP route monitoring, DNS tests, cert-validation tests are flagship ThousandEyes use cases.</w:t>
            </w:r>
          </w:p>
        </w:tc>
      </w:tr>
      <w:tr>
        <w:tc>
          <w:tcPr>
            <w:tcW w:type="dxa" w:w="4320"/>
          </w:tcPr>
          <w:p>
            <w:r>
              <w:t>Teams CQD network-quality dimension</w:t>
            </w:r>
          </w:p>
        </w:tc>
        <w:tc>
          <w:tcPr>
            <w:tcW w:type="dxa" w:w="4320"/>
          </w:tcPr>
          <w:p>
            <w:r>
              <w:t>Partial. Microsoft Teams test type gives synthetic call-quality baselines. Does not recover the EUII (BSSID / public IP / subnet) the document calls the "forensic cliff."</w:t>
            </w:r>
          </w:p>
        </w:tc>
      </w:tr>
      <w:tr>
        <w:tc>
          <w:tcPr>
            <w:tcW w:type="dxa" w:w="4320"/>
          </w:tcPr>
          <w:p>
            <w:r>
              <w:t>M365 service availability / performance</w:t>
            </w:r>
          </w:p>
        </w:tc>
        <w:tc>
          <w:tcPr>
            <w:tcW w:type="dxa" w:w="4320"/>
          </w:tcPr>
          <w:p>
            <w:r>
              <w:t>Yes. Endpoint and HTTP server tests cover this well.</w:t>
            </w:r>
          </w:p>
        </w:tc>
      </w:tr>
      <w:tr>
        <w:tc>
          <w:tcPr>
            <w:tcW w:type="dxa" w:w="4320"/>
          </w:tcPr>
          <w:p>
            <w:r>
              <w:t>Adoption Score (communication, collaboration, mobility patterns)</w:t>
            </w:r>
          </w:p>
        </w:tc>
        <w:tc>
          <w:tcPr>
            <w:tcW w:type="dxa" w:w="4320"/>
          </w:tcPr>
          <w:p>
            <w:r>
              <w:t>No. User-behavior signals; not a network problem.</w:t>
            </w:r>
          </w:p>
        </w:tc>
      </w:tr>
      <w:tr>
        <w:tc>
          <w:tcPr>
            <w:tcW w:type="dxa" w:w="4320"/>
          </w:tcPr>
          <w:p>
            <w:r>
              <w:t>Endpoint Analytics Advanced (boot time, app crashes, AppCrashCount, AvgProcessorUsage, "grey-ware" perf outliers)</w:t>
            </w:r>
          </w:p>
        </w:tc>
        <w:tc>
          <w:tcPr>
            <w:tcW w:type="dxa" w:w="4320"/>
          </w:tcPr>
          <w:p>
            <w:r>
              <w:t>No. Endpoint Agent collects local network telemetry, not Windows kernel / perf counters.</w:t>
            </w:r>
          </w:p>
        </w:tc>
      </w:tr>
      <w:tr>
        <w:tc>
          <w:tcPr>
            <w:tcW w:type="dxa" w:w="4320"/>
          </w:tcPr>
          <w:p>
            <w:r>
              <w:t>Entra Identity Protection ML (impossible travel, atypical IP, leaked creds)</w:t>
            </w:r>
          </w:p>
        </w:tc>
        <w:tc>
          <w:tcPr>
            <w:tcW w:type="dxa" w:w="4320"/>
          </w:tcPr>
          <w:p>
            <w:r>
              <w:t>No. Identity-data problem.</w:t>
            </w:r>
          </w:p>
        </w:tc>
      </w:tr>
      <w:tr>
        <w:tc>
          <w:tcPr>
            <w:tcW w:type="dxa" w:w="4320"/>
          </w:tcPr>
          <w:p>
            <w:r>
              <w:t>CAE sub-second revocation</w:t>
            </w:r>
          </w:p>
        </w:tc>
        <w:tc>
          <w:tcPr>
            <w:tcW w:type="dxa" w:w="4320"/>
          </w:tcPr>
          <w:p>
            <w:r>
              <w:t>No. Token-state problem.</w:t>
            </w:r>
          </w:p>
        </w:tc>
      </w:tr>
      <w:tr>
        <w:tc>
          <w:tcPr>
            <w:tcW w:type="dxa" w:w="4320"/>
          </w:tcPr>
          <w:p>
            <w:r>
              <w:t>Intune EPM, app-protection, WUfB trend telemetry</w:t>
            </w:r>
          </w:p>
        </w:tc>
        <w:tc>
          <w:tcPr>
            <w:tcW w:type="dxa" w:w="4320"/>
          </w:tcPr>
          <w:p>
            <w:r>
              <w:t>No. Endpoint policy / state events.</w:t>
            </w:r>
          </w:p>
        </w:tc>
      </w:tr>
      <w:tr>
        <w:tc>
          <w:tcPr>
            <w:tcW w:type="dxa" w:w="4320"/>
          </w:tcPr>
          <w:p>
            <w:r>
              <w:t>DLP behavioral / sensitivity-label / Copilot telemetry</w:t>
            </w:r>
          </w:p>
        </w:tc>
        <w:tc>
          <w:tcPr>
            <w:tcW w:type="dxa" w:w="4320"/>
          </w:tcPr>
          <w:p>
            <w:r>
              <w:t>No. Content and policy-event problem.</w:t>
            </w:r>
          </w:p>
        </w:tc>
      </w:tr>
      <w:tr>
        <w:tc>
          <w:tcPr>
            <w:tcW w:type="dxa" w:w="4320"/>
          </w:tcPr>
          <w:p>
            <w:r>
              <w:t>MailItemsAccessed, SearchQueryInitiated, unified audit gaps</w:t>
            </w:r>
          </w:p>
        </w:tc>
        <w:tc>
          <w:tcPr>
            <w:tcW w:type="dxa" w:w="4320"/>
          </w:tcPr>
          <w:p>
            <w:r>
              <w:t>No. SaaS audit events.</w:t>
            </w:r>
          </w:p>
        </w:tc>
      </w:tr>
    </w:tbl>
    <w:p/>
    <w:p>
      <w:pPr>
        <w:pStyle w:val="Heading2"/>
      </w:pPr>
      <w:r>
        <w:t>2.1 Net assessment</w:t>
      </w:r>
    </w:p>
    <w:p>
      <w:r>
        <w:rPr>
          <w:b w:val="0"/>
          <w:i w:val="0"/>
        </w:rPr>
        <w:t>ThousandEyes meaningfully addresses the Networks pillar (§8) and the §7.4 attack chain. It contributes nothing to the Identity, Devices, Data, or Applications &amp; Workloads pillars, which together are the bulk of the §5–§7 findings. Calling it a "way around the missing telemetry feed" overstates by roughly an order of magnitude — it closes ~1 of 7 ZTMM pillars.</w:t>
      </w:r>
    </w:p>
    <w:p>
      <w:pPr>
        <w:pStyle w:val="Heading2"/>
      </w:pPr>
      <w:r>
        <w:t>2.2 Two integrity caveats before any procurement conversation</w:t>
      </w:r>
    </w:p>
    <w:p>
      <w:pPr>
        <w:pStyle w:val="ListBullet"/>
      </w:pPr>
      <w:r>
        <w:t>FedRAMP authorization of ThousandEyes itself must be verified on the FedRAMP Marketplace at the Moderate baseline for the SKU being purchased. This memo does not cite a current Marketplace status; asserting one would violate the no-hallucination protocol. If the SKU is not Moderate-authorized, ingesting its data into the agency's boundary creates an SC-7 / supply-chain inheritance question that defeats the purpose.</w:t>
      </w:r>
    </w:p>
    <w:p>
      <w:pPr>
        <w:pStyle w:val="ListBullet"/>
      </w:pPr>
      <w:r>
        <w:t>Cloud Agent measurements traverse the public Internet from non-agency endpoints. Treat synthetic-probe metadata (source IPs, paths, timing) as cross-boundary egress for assessment purposes, not a free signal.</w:t>
      </w:r>
    </w:p>
    <w:p>
      <w:pPr>
        <w:pStyle w:val="Heading1"/>
      </w:pPr>
      <w:r>
        <w:t>3. At what cost?</w:t>
      </w:r>
    </w:p>
    <w:p>
      <w:r>
        <w:rPr>
          <w:b w:val="0"/>
          <w:i w:val="0"/>
        </w:rPr>
        <w:t>Five cost dimensions, in descending order of what tends to bite agencies:</w:t>
      </w:r>
    </w:p>
    <w:p>
      <w:pPr>
        <w:pStyle w:val="Heading2"/>
      </w:pPr>
      <w:r>
        <w:t>3.a Opportunity cost (highest)</w:t>
      </w:r>
    </w:p>
    <w:p>
      <w:r>
        <w:rPr>
          <w:b w:val="0"/>
          <w:i w:val="0"/>
        </w:rPr>
        <w:t>Spending the next budget cycle deploying ThousandEyes can create the appearance of closing the telemetry gap while the Identity, Devices, and Data pillars — where the document's "ghost compromise" / "sovereign blind spot compound chain" risks actually live — go un-addressed. The MITRE chains in §7.5 (Chains A and B) require both network observability and identity / endpoint / data analytics; ThousandEyes addresses the second half of Chain B and none of Chain A.</w:t>
      </w:r>
    </w:p>
    <w:p>
      <w:pPr>
        <w:pStyle w:val="Heading2"/>
      </w:pPr>
      <w:r>
        <w:t>3.b ATO scope and authorization</w:t>
      </w:r>
    </w:p>
    <w:p>
      <w:r>
        <w:rPr>
          <w:b w:val="0"/>
          <w:i w:val="0"/>
        </w:rPr>
        <w:t>Verifying SKU FedRAMP status, getting it into the SSP, updating boundary diagrams, and 3PAO impact analysis — typically 3–6 months of governance work before ingest. Non-trivial even when the technology is straightforward.</w:t>
      </w:r>
    </w:p>
    <w:p>
      <w:pPr>
        <w:pStyle w:val="Heading2"/>
      </w:pPr>
      <w:r>
        <w:t>3.c Licensing</w:t>
      </w:r>
    </w:p>
    <w:p>
      <w:r>
        <w:rPr>
          <w:b w:val="0"/>
          <w:i w:val="0"/>
        </w:rPr>
        <w:t>Cisco does not publish list pricing. Agencies should expect quote-based pricing with units for Cloud Agents, Enterprise Agents (per agent or appliance), Endpoint Agents (per seat), and BGP Monitors. This memo deliberately does not cite a number; any figure produced from training data would be stale and unverifiable. Treat the order of magnitude as "meaningful annual line item, not a rounding error" and require a fresh GSA / SEWP quote.</w:t>
      </w:r>
    </w:p>
    <w:p>
      <w:pPr>
        <w:pStyle w:val="Heading2"/>
      </w:pPr>
      <w:r>
        <w:t>3.d Deployment + integration</w:t>
      </w:r>
    </w:p>
    <w:p>
      <w:r>
        <w:rPr>
          <w:b w:val="0"/>
          <w:i w:val="0"/>
        </w:rPr>
        <w:t>Enterprise Agent placement at each agency site (VM or appliance), Endpoint Agent push via Intune, OpenTelemetry / API integration into Sentinel for correlation with §13.3 KQL. Roughly 4–8 weeks of engineering for a multi-site agency, plus ongoing baseline tuning.</w:t>
      </w:r>
    </w:p>
    <w:p>
      <w:pPr>
        <w:pStyle w:val="Heading2"/>
      </w:pPr>
      <w:r>
        <w:t>3.e SOC operating load</w:t>
      </w:r>
    </w:p>
    <w:p>
      <w:r>
        <w:rPr>
          <w:b w:val="0"/>
          <w:i w:val="0"/>
        </w:rPr>
        <w:t>Synthetic monitoring generates its own alert volume. Without analyst time to triage, baseline, and suppress, it adds noise without adding detection. Budget 0.25–0.5 FTE ongoing for a meaningful deployment.</w:t>
      </w:r>
    </w:p>
    <w:p>
      <w:pPr>
        <w:pStyle w:val="Heading1"/>
      </w:pPr>
      <w:r>
        <w:t>4. Bottom line</w:t>
      </w:r>
    </w:p>
    <w:p>
      <w:r>
        <w:rPr>
          <w:b w:val="0"/>
          <w:i w:val="0"/>
        </w:rPr>
        <w:t>A live GCC-Moderate assessment can be performed across M365, Intune, and Azure — and would let you flip most §5 Inferred rows to Confirmed — provided "Azure" is first disambiguated (Commercial-under-Moderate-ATO vs. Government vs. hybrid). ThousandEyes is a legitimate but narrow answer: it materially closes the Networks pillar and the BGP / DNS / MITM detection gap, and addresses none of the Identity, Devices, Data, Applications &amp; Workloads, or Audit-retention gaps that drive the document's headline findings. Buying it as a general "telemetry workaround" would mis-spend against the actual risk surface; buying it explicitly as a Networks-pillar component of the §13.2 compensating stack is defensible — provided FedRAMP Moderate authorization of the specific SKU is verified before ingest.</w:t>
      </w:r>
    </w:p>
    <w:p/>
    <w:p>
      <w:pPr>
        <w:pStyle w:val="Heading1"/>
      </w:pPr>
      <w:r>
        <w:t>5. Forward-looking note (Q1 2026): FedRAMP 20x Moderate Pilot</w:t>
      </w:r>
    </w:p>
    <w:p>
      <w:r>
        <w:t>After the date of this memo, the FedRAMP 20x program advanced two developments that materially change the framework environment without (yet) altering the operational gap inventory above. They are noted here so this assessment ages cleanly:</w:t>
      </w:r>
    </w:p>
    <w:p>
      <w:pPr>
        <w:pStyle w:val="ListBullet"/>
      </w:pPr>
      <w:r>
        <w:rPr>
          <w:b w:val="0"/>
        </w:rPr>
        <w:t>Minimum Assessment Scope Standard (</w:t>
      </w:r>
      <w:hyperlink r:id="rId9">
        <w:r>
          <w:rPr>
            <w:color w:val="0563C1"/>
            <w:u w:val="single"/>
          </w:rPr>
          <w:t xml:space="preserve">RFC-0005</w:t>
        </w:r>
      </w:hyperlink>
      <w:r>
        <w:t>) — comment period closed 2025-05-25. Replaces traditional FedRAMP boundary policy with a two-pronged inclusion test: an information resource is in scope if it (1) handles federal information, and/or (2) likely impacts confidentiality, integrity, or availability of federal information. Information resources and most metadata that do not meet either prong are explicitly out of scope.</w:t>
      </w:r>
    </w:p>
    <w:p>
      <w:pPr>
        <w:pStyle w:val="ListBullet"/>
      </w:pPr>
      <w:r>
        <w:t xml:space="preserve">20x Phase Two Moderate Pilot active November 2025; public Moderate path arriving Q2 2026. Phase Two introduces ~61 Key Security Indicators (KSIs) at Moderate baseline (themes: KSI-CNA, KSI-SVC, KSI-IAM, KSI-MLA, KSI-CMT, KSI-AFR) — machine-readable, continuously-validated evidence sitting above NIST SP 800-53. See </w:t>
      </w:r>
      <w:hyperlink r:id="rId10">
        <w:r>
          <w:rPr>
            <w:color w:val="0563C1"/>
            <w:u w:val="single"/>
          </w:rPr>
          <w:t xml:space="preserve">FedRAMP 20x Overview</w:t>
        </w:r>
      </w:hyperlink>
      <w:r>
        <w:t xml:space="preserve"> and </w:t>
      </w:r>
      <w:hyperlink r:id="rId11">
        <w:r>
          <w:rPr>
            <w:color w:val="0563C1"/>
            <w:u w:val="single"/>
          </w:rPr>
          <w:t xml:space="preserve">Key Security Indicators documentation</w:t>
        </w:r>
      </w:hyperlink>
      <w:r>
        <w:t>.</w:t>
      </w:r>
    </w:p>
    <w:p>
      <w:pPr>
        <w:pStyle w:val="Heading2"/>
      </w:pPr>
      <w:r>
        <w:t>5.1 Effect on the Section 2 ThousandEyes mapping</w:t>
      </w:r>
    </w:p>
    <w:p>
      <w:r>
        <w:t>The Section 2 verdict — that ThousandEyes meaningfully closes only the Networks pillar — is unchanged in substance. What changes is the evidence vocabulary: the network-pillar telemetry ThousandEyes produces (synthetic latency, jitter, packet-loss, BGP path data, DNS resolution checks) is exactly the deterministic, machine-generated telemetry 20x privileges. Under 20x, that telemetry can be expressed as KSI-MLA evidence directly rather than as bespoke compensating analytics. The identity, data, and behavioral-analytics gaps still fail the inclusion test's prong (1) — they handle federal information directly — and are not rescued by 20x on its own authority.</w:t>
      </w:r>
    </w:p>
    <w:p>
      <w:pPr>
        <w:pStyle w:val="Heading2"/>
      </w:pPr>
      <w:r>
        <w:t>5.2 Effect on the Section 3 cost analysis</w:t>
      </w:r>
    </w:p>
    <w:p>
      <w:r>
        <w:t xml:space="preserve">Cost dimension 3.b (ATO scope and authorization) is the line item most affected. The 3PAO impact analysis time line shortens if the ThousandEyes deployment is positioned as KSI-MLA evidence under 20x rather than as a new in-scope component under the prior boundary construct — provided the agency's authorization sponsor has adopted the 20x framework and provided ThousandEyes itself is FedRAMP Moderate authorized at the SKU level (still required to verify on the </w:t>
      </w:r>
      <w:hyperlink r:id="rId12">
        <w:r>
          <w:rPr>
            <w:color w:val="0563C1"/>
            <w:u w:val="single"/>
          </w:rPr>
          <w:t xml:space="preserve">FedRAMP Marketplace</w:t>
        </w:r>
      </w:hyperlink>
      <w:r>
        <w:t>). The other cost dimensions (opportunity cost, licensing, deployment, SOC operating load) are unchanged.</w:t>
      </w:r>
    </w:p>
    <w:p>
      <w:pPr>
        <w:pStyle w:val="Heading2"/>
      </w:pPr>
      <w:r>
        <w:t>5.3 What still requires CSP product action</w:t>
      </w:r>
    </w:p>
    <w:p>
      <w:r>
        <w:t>20x changes how FedRAMP assesses; it does not by itself ship product features into a sovereign cloud. The Microsoft Adoption Score, Informed Network Routing, Endpoint Analytics Advanced, Entra Identity Protection ML, Continuous Access Evaluation, sensitivity-label analytics, and DLP behavioral analytics gaps documented in this memo all remain CSP-roadmap items. Microsoft would have to file a 20x-aligned package for its GCC-Moderate offering covering those telemetry-bearing services for the operational gap to close. No such filing is asserted by this memo; verify directly with Microsoft GCC FedRAMP escalation if relevant to a procurement decision.</w:t>
      </w:r>
    </w:p>
    <w:p>
      <w:pPr>
        <w:pStyle w:val="Heading2"/>
      </w:pPr>
      <w:r>
        <w:t>5.4 Updated sources for this section</w:t>
      </w:r>
    </w:p>
    <w:p>
      <w:pPr>
        <w:pStyle w:val="ListBullet"/>
      </w:pPr>
      <w:hyperlink r:id="rId10">
        <w:r>
          <w:rPr>
            <w:color w:val="0563C1"/>
            <w:u w:val="single"/>
          </w:rPr>
          <w:t xml:space="preserve">FedRAMP 20x Overview</w:t>
        </w:r>
      </w:hyperlink>
    </w:p>
    <w:p>
      <w:pPr>
        <w:pStyle w:val="ListBullet"/>
      </w:pPr>
      <w:hyperlink r:id="rId13">
        <w:r>
          <w:rPr>
            <w:color w:val="0563C1"/>
            <w:u w:val="single"/>
          </w:rPr>
          <w:t xml:space="preserve">FedRAMP 20x Documentation index</w:t>
        </w:r>
      </w:hyperlink>
    </w:p>
    <w:p>
      <w:pPr>
        <w:pStyle w:val="ListBullet"/>
      </w:pPr>
      <w:hyperlink r:id="rId11">
        <w:r>
          <w:rPr>
            <w:color w:val="0563C1"/>
            <w:u w:val="single"/>
          </w:rPr>
          <w:t xml:space="preserve">Key Security Indicators — 20x docs</w:t>
        </w:r>
      </w:hyperlink>
    </w:p>
    <w:p>
      <w:pPr>
        <w:pStyle w:val="ListBullet"/>
      </w:pPr>
      <w:hyperlink r:id="rId9">
        <w:r>
          <w:rPr>
            <w:color w:val="0563C1"/>
            <w:u w:val="single"/>
          </w:rPr>
          <w:t xml:space="preserve">RFC-0005 Minimum Assessment Scope Standard</w:t>
        </w:r>
      </w:hyperlink>
    </w:p>
    <w:p>
      <w:pPr>
        <w:pStyle w:val="ListBullet"/>
      </w:pPr>
      <w:hyperlink r:id="rId14">
        <w:r>
          <w:rPr>
            <w:color w:val="0563C1"/>
            <w:u w:val="single"/>
          </w:rPr>
          <w:t xml:space="preserve">RFC-0006 Phase One KSIs</w:t>
        </w:r>
      </w:hyperlink>
    </w:p>
    <w:p>
      <w:pPr>
        <w:pStyle w:val="ListBullet"/>
      </w:pPr>
      <w:hyperlink r:id="rId15">
        <w:r>
          <w:rPr>
            <w:color w:val="0563C1"/>
            <w:u w:val="single"/>
          </w:rPr>
          <w:t xml:space="preserve">RFC-0014 Phase Two KSIs</w:t>
        </w:r>
      </w:hyperlink>
    </w:p>
    <w:p>
      <w:pPr>
        <w:pStyle w:val="ListBullet"/>
      </w:pPr>
      <w:hyperlink r:id="rId16">
        <w:r>
          <w:rPr>
            <w:color w:val="0563C1"/>
            <w:u w:val="single"/>
          </w:rPr>
          <w:t xml:space="preserve">RFC-0024 Rev5 Machine-Readable Packages</w:t>
        </w:r>
      </w:hyperlink>
    </w:p>
    <w:p>
      <w:pPr>
        <w:pStyle w:val="ListBullet"/>
      </w:pPr>
      <w:hyperlink r:id="rId12">
        <w:r>
          <w:rPr>
            <w:color w:val="0563C1"/>
            <w:u w:val="single"/>
          </w:rPr>
          <w:t xml:space="preserve">FedRAMP Marketplace</w:t>
        </w:r>
      </w:hyperlink>
    </w:p>
    <w:p/>
    <w:p>
      <w:r>
        <w:rPr>
          <w:i/>
        </w:rPr>
        <w:t>Prepared under the UIAO NO-HALLUCINATION PROTOCOL. Findings derive from the companion M365 GCC-Moderate Telemetry &amp; Boundary Assessment v1.0 (combined) and from architectural reasoning per NIST 800-53 SI-4 / AU-2 / AU-3 / SC-7. No vendor pricing or FedRAMP Marketplace authorization status is asserted; both must be independently verified. Section 5 added 2026-04-27 to track FedRAMP 20x Moderate Pilot framework movement; the operational findings in Sections 1–3 are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edramp.gov/rfcs/0005/" TargetMode="External"/><Relationship Id="rId10" Type="http://schemas.openxmlformats.org/officeDocument/2006/relationships/hyperlink" Target="https://www.fedramp.gov/20x/" TargetMode="External"/><Relationship Id="rId11" Type="http://schemas.openxmlformats.org/officeDocument/2006/relationships/hyperlink" Target="https://www.fedramp.gov/docs/20x/key-security-indicators/" TargetMode="External"/><Relationship Id="rId12" Type="http://schemas.openxmlformats.org/officeDocument/2006/relationships/hyperlink" Target="https://marketplace.fedramp.gov/" TargetMode="External"/><Relationship Id="rId13" Type="http://schemas.openxmlformats.org/officeDocument/2006/relationships/hyperlink" Target="https://www.fedramp.gov/docs/20x/" TargetMode="External"/><Relationship Id="rId14" Type="http://schemas.openxmlformats.org/officeDocument/2006/relationships/hyperlink" Target="https://www.fedramp.gov/rfcs/0006/" TargetMode="External"/><Relationship Id="rId15" Type="http://schemas.openxmlformats.org/officeDocument/2006/relationships/hyperlink" Target="https://www.fedramp.gov/rfcs/0014/" TargetMode="External"/><Relationship Id="rId16" Type="http://schemas.openxmlformats.org/officeDocument/2006/relationships/hyperlink" Target="https://www.fedramp.gov/rfcs/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