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B71C1C"/>
        </w:rPr>
        <w:t xml:space="preserve">CONTROLLED  |  ASSESSMENT ARTIFACT  |  UIAO CANON COMPANION</w:t>
      </w:r>
    </w:p>
    <w:p>
      <w:pPr>
        <w:spacing w:after="120" w:before="600"/>
        <w:jc w:val="center"/>
      </w:pPr>
      <w:r>
        <w:rPr>
          <w:b/>
          <w:bCs/>
          <w:sz w:val="48"/>
          <w:szCs w:val="48"/>
        </w:rPr>
        <w:t xml:space="preserve">UIAO Documentation Corpus</w:t>
      </w:r>
    </w:p>
    <w:p>
      <w:pPr>
        <w:spacing w:after="200"/>
        <w:jc w:val="center"/>
      </w:pPr>
      <w:r>
        <w:rPr>
          <w:b/>
          <w:bCs/>
          <w:sz w:val="32"/>
          <w:szCs w:val="32"/>
        </w:rPr>
        <w:t xml:space="preserve">Quality, Coverage, Consistency, and Strategic-Fit Assessment</w:t>
      </w:r>
    </w:p>
    <w:p>
      <w:pPr>
        <w:spacing w:after="80"/>
        <w:jc w:val="center"/>
      </w:pPr>
      <w:r>
        <w:rPr>
          <w:i/>
          <w:iCs/>
        </w:rPr>
        <w:t xml:space="preserve">Independent review of 18 UIAO Canon documents</w:t>
      </w:r>
    </w:p>
    <w:p>
      <w:pPr>
        <w:spacing w:after="400"/>
        <w:jc w:val="center"/>
      </w:pPr>
      <w:r>
        <w:rPr>
          <w:i/>
          <w:iCs/>
        </w:rPr>
        <w:t xml:space="preserve">21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Document ID</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UIAO_ASSESS_001_Corpus_Review_v1.0</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Classification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Controlled</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Boundary</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GCC-Moderate</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Scope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18 uploaded UIAO Canon documents, April 2026</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Prepared for</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Michael Stratton — Canon Steward</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Prepared by</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Claude (Cowork assessment review)</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Repository referenced</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github.com/WhalerMike/uiao</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Status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DRAFT — for author review</w:t>
            </w:r>
          </w:p>
        </w:tc>
      </w:tr>
    </w:tbl>
    <w:p>
      <w:pPr>
        <w:pStyle w:val="Heading1"/>
        <w:pageBreakBefore/>
        <w:spacing w:after="160" w:before="240"/>
      </w:pPr>
      <w:r>
        <w:rPr>
          <w:b/>
          <w:bCs/>
        </w:rPr>
        <w:t xml:space="preserve">1. Executive Summary</w:t>
      </w:r>
    </w:p>
    <w:p>
      <w:pPr>
        <w:spacing w:after="120"/>
      </w:pPr>
      <w:r>
        <w:t xml:space="preserve">The UIAO corpus is an unusually coherent and ambitious body of work. Across 18 documents and roughly 175,000 words, it sketches a complete federal Active-Directory-to-cloud modernization program: seven phases, 48 milestones, a Gitea-backed governance pipeline, a PowerShell assessment module suite, OrgPath-based dynamic targeting, and a gap analysis that positions UIAO as an orchestration layer above twelve Microsoft native tools. The writing is confident, the decomposition is disciplined, and the cross-referencing between documents is — for a corpus this size — remarkable.</w:t>
      </w:r>
    </w:p>
    <w:p>
      <w:pPr>
        <w:spacing w:after="120"/>
      </w:pPr>
      <w:r>
        <w:t xml:space="preserve">That is the headline. The rest of this assessment is the set of refinements that turn a strong draft into a shippable canon.</w:t>
      </w:r>
    </w:p>
    <w:p>
      <w:pPr>
        <w:pStyle w:val="Heading2"/>
        <w:spacing w:after="120" w:before="200"/>
      </w:pPr>
      <w:r>
        <w:rPr>
          <w:b/>
          <w:bCs/>
        </w:rPr>
        <w:t xml:space="preserve">1.1 Top-line findings</w:t>
      </w:r>
    </w:p>
    <w:p>
      <w:pPr>
        <w:pStyle w:val="ListParagraph"/>
        <w:numPr>
          <w:ilvl w:val="0"/>
          <w:numId w:val="2"/>
        </w:numPr>
        <w:spacing w:after="80"/>
      </w:pPr>
      <w:r>
        <w:rPr>
          <w:b/>
          <w:bCs/>
        </w:rPr>
        <w:t xml:space="preserve">Overall quality: </w:t>
      </w:r>
      <w:r>
        <w:t xml:space="preserve">high. Governance framing, scope discipline, and signal-to-noise ratio are all above the norm for technical program documentation of this scale.</w:t>
      </w:r>
    </w:p>
    <w:p>
      <w:pPr>
        <w:pStyle w:val="ListParagraph"/>
        <w:numPr>
          <w:ilvl w:val="0"/>
          <w:numId w:val="2"/>
        </w:numPr>
        <w:spacing w:after="80"/>
      </w:pPr>
      <w:r>
        <w:rPr>
          <w:b/>
          <w:bCs/>
        </w:rPr>
        <w:t xml:space="preserve">Primary risk: </w:t>
      </w:r>
      <w:r>
        <w:t xml:space="preserve">one document in the set — </w:t>
      </w:r>
      <w:r>
        <w:rPr>
          <w:i/>
          <w:iCs/>
        </w:rPr>
        <w:t xml:space="preserve">UIAO platform and modernization guides.docx</w:t>
      </w:r>
      <w:r>
        <w:t xml:space="preserve"> — is an unedited AI generation transcript (contains raw </w:t>
      </w:r>
      <w:r>
        <w:rPr>
          <w:i/>
          <w:iCs/>
        </w:rPr>
        <w:t xml:space="preserve">You said / Copilot said</w:t>
      </w:r>
      <w:r>
        <w:t xml:space="preserve"> blocks) and should be removed, rewritten, or moved out of Canon before distribution.</w:t>
      </w:r>
    </w:p>
    <w:p>
      <w:pPr>
        <w:pStyle w:val="ListParagraph"/>
        <w:numPr>
          <w:ilvl w:val="0"/>
          <w:numId w:val="2"/>
        </w:numPr>
        <w:spacing w:after="80"/>
      </w:pPr>
      <w:r>
        <w:rPr>
          <w:b/>
          <w:bCs/>
        </w:rPr>
        <w:t xml:space="preserve">Architectural inconsistency: </w:t>
      </w:r>
      <w:r>
        <w:t xml:space="preserve">ADR-001 recommends </w:t>
      </w:r>
      <w:r>
        <w:rPr>
          <w:i/>
          <w:iCs/>
        </w:rPr>
        <w:t xml:space="preserve">Gitea behind IIS reverse proxy</w:t>
      </w:r>
      <w:r>
        <w:t xml:space="preserve">. Two companion guides (</w:t>
      </w:r>
      <w:r>
        <w:rPr>
          <w:i/>
          <w:iCs/>
        </w:rPr>
        <w:t xml:space="preserve">Git on Windows Server 2025 with IIS</w:t>
      </w:r>
      <w:r>
        <w:t xml:space="preserve"> and </w:t>
      </w:r>
      <w:r>
        <w:rPr>
          <w:i/>
          <w:iCs/>
        </w:rPr>
        <w:t xml:space="preserve">UIAO Git Server — Windows Server 2025 with IIS</w:t>
      </w:r>
      <w:r>
        <w:t xml:space="preserve">) document the rejected Option A (IIS + git-http-backend alone) with no superseded-by banner. A reader who finds one of those first will build the wrong thing.</w:t>
      </w:r>
    </w:p>
    <w:p>
      <w:pPr>
        <w:pStyle w:val="ListParagraph"/>
        <w:numPr>
          <w:ilvl w:val="0"/>
          <w:numId w:val="2"/>
        </w:numPr>
        <w:spacing w:after="80"/>
      </w:pPr>
      <w:r>
        <w:rPr>
          <w:b/>
          <w:bCs/>
        </w:rPr>
        <w:t xml:space="preserve">Internal contradiction on module shape: </w:t>
      </w:r>
      <w:r>
        <w:t xml:space="preserve">the </w:t>
      </w:r>
      <w:r>
        <w:rPr>
          <w:i/>
          <w:iCs/>
        </w:rPr>
        <w:t xml:space="preserve">PowerShell Module Reference</w:t>
      </w:r>
      <w:r>
        <w:t xml:space="preserve"> advertises 11/8/5/5 functions across the four shipped modules; the Sprint 1 delivery log in </w:t>
      </w:r>
      <w:r>
        <w:rPr>
          <w:i/>
          <w:iCs/>
        </w:rPr>
        <w:t xml:space="preserve">platform and modernization guides.docx</w:t>
      </w:r>
      <w:r>
        <w:t xml:space="preserve"> records 14/11/8/8. Both are dated within a day of each other. Readers cannot tell which is authoritative.</w:t>
      </w:r>
    </w:p>
    <w:p>
      <w:pPr>
        <w:pStyle w:val="ListParagraph"/>
        <w:numPr>
          <w:ilvl w:val="0"/>
          <w:numId w:val="2"/>
        </w:numPr>
        <w:spacing w:after="80"/>
      </w:pPr>
      <w:r>
        <w:rPr>
          <w:b/>
          <w:bCs/>
        </w:rPr>
        <w:t xml:space="preserve">Strategic positioning is the strongest asset: </w:t>
      </w:r>
      <w:r>
        <w:t xml:space="preserve">the </w:t>
      </w:r>
      <w:r>
        <w:rPr>
          <w:i/>
          <w:iCs/>
        </w:rPr>
        <w:t xml:space="preserve">UIAO vs. Microsoft Native Tools</w:t>
      </w:r>
      <w:r>
        <w:t xml:space="preserve"> gap analysis and the SCuBA parallel ("Microsoft provides the instruments; UIAO provides the orchestra") are genuinely differentiated and investor-ready. This is the thread the public-facing materials should lead with.</w:t>
      </w:r>
    </w:p>
    <w:p>
      <w:pPr>
        <w:pStyle w:val="ListParagraph"/>
        <w:numPr>
          <w:ilvl w:val="0"/>
          <w:numId w:val="2"/>
        </w:numPr>
        <w:spacing w:after="80"/>
      </w:pPr>
      <w:r>
        <w:rPr>
          <w:b/>
          <w:bCs/>
        </w:rPr>
        <w:t xml:space="preserve">Earlier PyPI-first roadmap advice is misaligned: </w:t>
      </w:r>
      <w:r>
        <w:t xml:space="preserve">the real shippable artifacts are PowerShell modules, Windows Server build scripts, Gitea configs, and governance docs — not Python packages. Distribution strategy needs to be reworked around the </w:t>
      </w:r>
      <w:r>
        <w:rPr>
          <w:i/>
          <w:iCs/>
        </w:rPr>
        <w:t xml:space="preserve">PowerShell Gallery</w:t>
      </w:r>
      <w:r>
        <w:t xml:space="preserve"> and </w:t>
      </w:r>
      <w:r>
        <w:rPr>
          <w:i/>
          <w:iCs/>
        </w:rPr>
        <w:t xml:space="preserve">signed script delivery</w:t>
      </w:r>
      <w:r>
        <w:t xml:space="preserve">, with the GitHub/Gitea repo as the canonical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spacing w:after="60"/>
            </w:pPr>
            <w:r>
              <w:rPr>
                <w:b/>
                <w:bCs/>
              </w:rPr>
              <w:t xml:space="preserve">Bottom line</w:t>
            </w:r>
          </w:p>
          <w:p>
            <w:r>
              <w:t xml:space="preserve">This corpus is 85–90% of the way to a publishable federal modernization canon. The remaining 10–15% is housekeeping — removing a contaminated file, reconciling two architecture stories, unifying metadata, closing a handful of counted discrepancies, and re-aiming the distribution plan at the actual artifacts. None of the fixes are structural rewrites; all are achievable in one focused editing pass.</w:t>
            </w:r>
          </w:p>
        </w:tc>
      </w:tr>
    </w:tbl>
    <w:p>
      <w:pPr>
        <w:pStyle w:val="Heading2"/>
        <w:spacing w:after="120" w:before="200"/>
      </w:pPr>
      <w:r>
        <w:rPr>
          <w:b/>
          <w:bCs/>
        </w:rPr>
        <w:t xml:space="preserve">1.2 What Claude looked at</w:t>
      </w:r>
    </w:p>
    <w:p>
      <w:pPr>
        <w:spacing w:after="120"/>
      </w:pPr>
      <w:r>
        <w:t xml:space="preserve">This review covers all 18 uploaded documents. Each was converted from .docx to markdown with pandoc, outlined programmatically, and then read: the five flagship documents in full, and the others through executive summaries, section headings, and targeted spot-checks against claims made by the flagships. No part of the actual Git repository, PowerShell modules, or Gitea configuration was examined — findings are scoped to what the documents assert about themselves and each other.</w:t>
      </w:r>
    </w:p>
    <w:p>
      <w:pPr>
        <w:pStyle w:val="Heading1"/>
        <w:pageBreakBefore/>
        <w:spacing w:after="160" w:before="240"/>
      </w:pPr>
      <w:r>
        <w:rPr>
          <w:b/>
          <w:bCs/>
        </w:rPr>
        <w:t xml:space="preserve">2. Methodology and Scope</w:t>
      </w:r>
    </w:p>
    <w:p>
      <w:pPr>
        <w:spacing w:after="120"/>
      </w:pPr>
      <w:r>
        <w:t xml:space="preserve">The review addressed four explicit dimensions requested by the author: quality and writing, coverage and gaps, consistency across documents, and strategic / product fit. Each finding below is tagged to one or more of those dimensions. Findings that are subjective (voice, tone, aesthetic choices) are marked as such; findings that are objective (contradictory numeric claims, architectural conflicts with ADR-001) are presented with direct citations.</w:t>
      </w:r>
    </w:p>
    <w:p>
      <w:pPr>
        <w:spacing w:after="120"/>
      </w:pPr>
      <w:r>
        <w:t xml:space="preserve">The assessment deliberately does not attempt to verify technical correctness of individual PowerShell snippets, Conditional Access JSON, or Arc policy definitions. Validating that surface requires running the code against a real AD forest and a real Entra tenant, which is outside the scope of a document review. Where the corpus makes verifiable claims about Microsoft tool behavior (MAP Toolkit status, Azure Migrate feature coverage, Gitea capabilities), those are accepted as written unless they contradict other UIAO documents.</w:t>
      </w:r>
    </w:p>
    <w:p>
      <w:pPr>
        <w:pStyle w:val="Heading1"/>
        <w:pageBreakBefore/>
        <w:spacing w:after="160" w:before="240"/>
      </w:pPr>
      <w:r>
        <w:rPr>
          <w:b/>
          <w:bCs/>
        </w:rPr>
        <w:t xml:space="preserve">3. Corpus Inventory</w:t>
      </w:r>
    </w:p>
    <w:p>
      <w:pPr>
        <w:spacing w:after="120"/>
      </w:pPr>
      <w:r>
        <w:t xml:space="preserve">The 18 documents organize into five clusters. Line and word counts reflect the markdown-converted text, not docx page count. "Role" is Claude's characterization of the document's function within the corpus.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200"/>
        <w:gridCol w:w="3360"/>
      </w:tblGrid>
      <w:tr>
        <w:trPr>
          <w:tblHeader/>
        </w:trPr>
        <w:tc>
          <w:tcPr>
            <w:tcW w:type="dxa" w:w="14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Cluster</w:t>
            </w:r>
          </w:p>
        </w:tc>
        <w:tc>
          <w:tcPr>
            <w:tcW w:type="dxa" w:w="34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Document</w:t>
            </w:r>
          </w:p>
        </w:tc>
        <w:tc>
          <w:tcPr>
            <w:tcW w:type="dxa" w:w="12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Words</w:t>
            </w:r>
          </w:p>
        </w:tc>
        <w:tc>
          <w:tcPr>
            <w:tcW w:type="dxa" w:w="33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Role</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Capstone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Master Project Plan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14,051</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Program plan: 7 phases, 48 milestones, 52 weeks</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Strategic</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vs. Microsoft Native Tools — Gap Analysis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5,392</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Positioning and competitive framing</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Strategic</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platform and modernization guides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4,863</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Corpus summary — contains raw chat transcript (see §4.1)</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Platform</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Git Infrastructure — ADR-001</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5,771</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Architecture decision: Gitea + IIS (recommended)</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Platform</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Platform Server Build Guide (Gitea + IIS)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11,312</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The architecture ADR-001 endorses</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Platform</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Git Server — WS2025 with IIS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8,905</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IIS + git-http-backend (ADR-001 Option A — rejected)</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Platform</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 on Windows Server 2025 with IIS (generic)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5,986</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Generic IIS + git-http-backend reference</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Platform</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CLI and Operations Guide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11,101</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 Gitea API, PowerShell, platform integration</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Assessment</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AD Interaction Guide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11,677</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Full assessment pipeline — forest to PKI</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Assessment</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Read-Only AD Assessment Guide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10,858</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Least-privilege assessment (~87% coverage)</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Assessment</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PowerShell Module Reference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9,248</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API reference for 4 shipped + 4 planned modules</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Modernization</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Identity Modernization Guide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16,014</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 → Entra ID, largest single document</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Modernization</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DNS Modernization Guide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11,245</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AD-integrated DNS → Azure hybrid resolution</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Modernization</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PKI Modernization Guide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13,744</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ADCS → Cloud PKI + Entra CBA, ESC1–8</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Modernization</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 Computer Object Conversion Guide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8,483</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Entra/Intune/Arc device governance</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Policy Library</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Conditional Access Policy Library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9,650</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40+ CA policies, OrgPath-mapped</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Policy Library</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Intune Policy Templates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11,190</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Compliance, Settings Catalog, Endpoint Security</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Policy Library</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Azure Arc Policy Library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6,244</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Guest Configuration, tagging, compliance</w:t>
            </w:r>
          </w:p>
        </w:tc>
      </w:tr>
    </w:tbl>
    <w:p>
      <w:r>
        <w:t xml:space="preserve"/>
      </w:r>
    </w:p>
    <w:p>
      <w:pPr>
        <w:spacing w:after="120"/>
      </w:pPr>
      <w:r>
        <w:t xml:space="preserve">Five documents carry the majority of the strategic load: the Master Project Plan, the Gap Analysis, the Identity Modernization Guide, ADR-001, and the PowerShell Module Reference. These should be treated as canonical; everything else either supports or extends them.</w:t>
      </w:r>
    </w:p>
    <w:p>
      <w:pPr>
        <w:pStyle w:val="Heading1"/>
        <w:pageBreakBefore/>
        <w:spacing w:after="160" w:before="240"/>
      </w:pPr>
      <w:r>
        <w:rPr>
          <w:b/>
          <w:bCs/>
        </w:rPr>
        <w:t xml:space="preserve">4. Findings — Quality and Writing</w:t>
      </w:r>
    </w:p>
    <w:p>
      <w:pPr>
        <w:pStyle w:val="Heading2"/>
        <w:spacing w:after="120" w:before="200"/>
      </w:pPr>
      <w:r>
        <w:rPr>
          <w:b/>
          <w:bCs/>
        </w:rPr>
        <w:t xml:space="preserve">4.1 The elephant in the room: an unedited AI transcript shipped in Canon</w:t>
      </w:r>
    </w:p>
    <w:p>
      <w:pPr>
        <w:spacing w:after="120"/>
      </w:pPr>
      <w:r>
        <w:t xml:space="preserve">UIAO platform and modernization guides.docx opens as a legitimate "Microsoft Learn–style" overview of the corpus, but at approximately line 200 of the markdown conversion it shifts into an unedited chat transcript. The transcript includes:</w:t>
      </w:r>
    </w:p>
    <w:p>
      <w:pPr>
        <w:pStyle w:val="ListParagraph"/>
        <w:numPr>
          <w:ilvl w:val="0"/>
          <w:numId w:val="2"/>
        </w:numPr>
        <w:spacing w:after="80"/>
      </w:pPr>
      <w:r>
        <w:t xml:space="preserve">Literal "You said" / "Copilot said" speaker labels.</w:t>
      </w:r>
    </w:p>
    <w:p>
      <w:pPr>
        <w:pStyle w:val="ListParagraph"/>
        <w:numPr>
          <w:ilvl w:val="0"/>
          <w:numId w:val="2"/>
        </w:numPr>
        <w:spacing w:after="80"/>
      </w:pPr>
      <w:r>
        <w:t xml:space="preserve">Generation progress messages such as "Resuming execution — picking up right where I left off" and "Continuing Sprint 1 execution".</w:t>
      </w:r>
    </w:p>
    <w:p>
      <w:pPr>
        <w:pStyle w:val="ListParagraph"/>
        <w:numPr>
          <w:ilvl w:val="0"/>
          <w:numId w:val="2"/>
        </w:numPr>
        <w:spacing w:after="80"/>
      </w:pPr>
      <w:r>
        <w:t xml:space="preserve">Copilot's status reports to the author, including a full Sprint 1 delivery manifest.</w:t>
      </w:r>
    </w:p>
    <w:p>
      <w:pPr>
        <w:pStyle w:val="ListParagraph"/>
        <w:numPr>
          <w:ilvl w:val="0"/>
          <w:numId w:val="2"/>
        </w:numPr>
        <w:spacing w:after="80"/>
      </w:pPr>
      <w:r>
        <w:t xml:space="preserve">Author side-prompts such as "status?" and "proceed" preserved inline.</w:t>
      </w:r>
    </w:p>
    <w:p>
      <w:pPr>
        <w:spacing w:after="120"/>
      </w:pPr>
      <w:r>
        <w:t xml:space="preserve">This is the single highest-impact finding in the review. Shipping this file to a customer, auditor, or investor reveals both the generation workflow and unedited prompts — including a request to generate PowerShell modules "as well as how to access the code by API" that reads like early scoping, not a finished specification. It also undercuts the Canon Steward framing established in every other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spacing w:after="60"/>
            </w:pPr>
            <w:r>
              <w:rPr>
                <w:b/>
                <w:bCs/>
              </w:rPr>
              <w:t xml:space="preserve">Recommendation</w:t>
            </w:r>
          </w:p>
          <w:p>
            <w:r>
              <w:t xml:space="preserve">Remove this document from Canon distribution immediately. Either (a) delete it, (b) archive it outside the canon/ path as an internal artifact history, or (c) rewrite the opening "Microsoft Learn–style" section into a proper corpus-overview document and discard the transcript tail.</w:t>
            </w:r>
          </w:p>
        </w:tc>
      </w:tr>
    </w:tbl>
    <w:p>
      <w:pPr>
        <w:pStyle w:val="Heading2"/>
        <w:spacing w:after="120" w:before="200"/>
      </w:pPr>
      <w:r>
        <w:rPr>
          <w:b/>
          <w:bCs/>
        </w:rPr>
        <w:t xml:space="preserve">4.2 Strengths</w:t>
      </w:r>
    </w:p>
    <w:p>
      <w:pPr>
        <w:pStyle w:val="ListParagraph"/>
        <w:numPr>
          <w:ilvl w:val="0"/>
          <w:numId w:val="2"/>
        </w:numPr>
        <w:spacing w:after="80"/>
      </w:pPr>
      <w:r>
        <w:rPr>
          <w:b/>
          <w:bCs/>
        </w:rPr>
        <w:t xml:space="preserve">Consistent governance framing.</w:t>
      </w:r>
      <w:r>
        <w:t xml:space="preserve"> Most documents open with Classification, Boundary, Version, Author, Date, and a governance callout. The pattern (Controlled | GCC-Moderate | Version 1.0 | April 2026) reads as a mature controlled-document program, not a pile of drafts.</w:t>
      </w:r>
    </w:p>
    <w:p>
      <w:pPr>
        <w:pStyle w:val="ListParagraph"/>
        <w:numPr>
          <w:ilvl w:val="0"/>
          <w:numId w:val="2"/>
        </w:numPr>
        <w:spacing w:after="80"/>
      </w:pPr>
      <w:r>
        <w:rPr>
          <w:b/>
          <w:bCs/>
        </w:rPr>
        <w:t xml:space="preserve">Cross-reference matrices.</w:t>
      </w:r>
      <w:r>
        <w:t xml:space="preserve"> Nearly every modernization guide ships an explicit companion-document cross-reference table. Readers who enter through any single guide can find their way to the capstone and sibling documents without hunting. This is genuinely hard to do at this corpus size and it is done well here.</w:t>
      </w:r>
    </w:p>
    <w:p>
      <w:pPr>
        <w:pStyle w:val="ListParagraph"/>
        <w:numPr>
          <w:ilvl w:val="0"/>
          <w:numId w:val="2"/>
        </w:numPr>
        <w:spacing w:after="80"/>
      </w:pPr>
      <w:r>
        <w:rPr>
          <w:b/>
          <w:bCs/>
        </w:rPr>
        <w:t xml:space="preserve">Decomposition discipline.</w:t>
      </w:r>
      <w:r>
        <w:t xml:space="preserve"> Every modernization guide follows the same pattern: current-state decomposition, target-state architecture, migration methodology, execution playbook, troubleshooting, appendix with PowerShell module. The repetition is a feature — it makes the corpus learnable.</w:t>
      </w:r>
    </w:p>
    <w:p>
      <w:pPr>
        <w:pStyle w:val="ListParagraph"/>
        <w:numPr>
          <w:ilvl w:val="0"/>
          <w:numId w:val="2"/>
        </w:numPr>
        <w:spacing w:after="80"/>
      </w:pPr>
      <w:r>
        <w:rPr>
          <w:b/>
          <w:bCs/>
        </w:rPr>
        <w:t xml:space="preserve">Concrete over hand-wavy.</w:t>
      </w:r>
      <w:r>
        <w:t xml:space="preserve"> Risk Register items carry mitigations and owners. Policies carry IDs (CA-001, CP-001, SC-007). Milestones carry dependencies and critical-path membership. This is the specificity auditors and assessors expect.</w:t>
      </w:r>
    </w:p>
    <w:p>
      <w:pPr>
        <w:pStyle w:val="ListParagraph"/>
        <w:numPr>
          <w:ilvl w:val="0"/>
          <w:numId w:val="2"/>
        </w:numPr>
        <w:spacing w:after="80"/>
      </w:pPr>
      <w:r>
        <w:rPr>
          <w:b/>
          <w:bCs/>
        </w:rPr>
        <w:t xml:space="preserve">Voice.</w:t>
      </w:r>
      <w:r>
        <w:t xml:space="preserve"> The writing avoids both bureaucratic mush and over-casual prose. The SCuBA analogy, the "instruments vs. orchestra" metaphor, and phrases like "necessary but insufficient" in ADR-001 show taste.</w:t>
      </w:r>
    </w:p>
    <w:p>
      <w:pPr>
        <w:pStyle w:val="Heading2"/>
        <w:spacing w:after="120" w:before="200"/>
      </w:pPr>
      <w:r>
        <w:rPr>
          <w:b/>
          <w:bCs/>
        </w:rPr>
        <w:t xml:space="preserve">4.3 Weaknesses and inconsistencies</w:t>
      </w:r>
    </w:p>
    <w:p>
      <w:pPr>
        <w:pStyle w:val="ListParagraph"/>
        <w:numPr>
          <w:ilvl w:val="0"/>
          <w:numId w:val="2"/>
        </w:numPr>
        <w:spacing w:after="80"/>
      </w:pPr>
      <w:r>
        <w:rPr>
          <w:b/>
          <w:bCs/>
        </w:rPr>
        <w:t xml:space="preserve">Headings are visually bold but not semantically tagged.</w:t>
      </w:r>
      <w:r>
        <w:t xml:space="preserve"> Pandoc extracted almost no markdown headings from the set; sections are numbered strings like "1. Executive Summary" as plain paragraphs. This means docx navigation panes, automated TOCs, and accessibility readers will not see the document outline. Fix in the template, not per-document.</w:t>
      </w:r>
    </w:p>
    <w:p>
      <w:pPr>
        <w:pStyle w:val="ListParagraph"/>
        <w:numPr>
          <w:ilvl w:val="0"/>
          <w:numId w:val="2"/>
        </w:numPr>
        <w:spacing w:after="80"/>
      </w:pPr>
      <w:r>
        <w:rPr>
          <w:b/>
          <w:bCs/>
        </w:rPr>
        <w:t xml:space="preserve">Diagrams are referenced but missing.</w:t>
      </w:r>
      <w:r>
        <w:t xml:space="preserve"> The Master Project Plan calls out "[Diagram: UIAO Program Timeline — Gantt Overview]" with explicit Diagram IDs and pixel dimensions (UIAO-MPP-D001, UIAO-MPP-D002, UIAO-MPP-D003) but the figures themselves are not embedded. At least three other documents have the same pattern. A reader encounters bracketed descriptions where a diagram should be.</w:t>
      </w:r>
    </w:p>
    <w:p>
      <w:pPr>
        <w:pStyle w:val="ListParagraph"/>
        <w:numPr>
          <w:ilvl w:val="0"/>
          <w:numId w:val="2"/>
        </w:numPr>
        <w:spacing w:after="80"/>
      </w:pPr>
      <w:r>
        <w:rPr>
          <w:b/>
          <w:bCs/>
        </w:rPr>
        <w:t xml:space="preserve">Author attribution drifts.</w:t>
      </w:r>
      <w:r>
        <w:t xml:space="preserve"> Different docs credit "Michael", "Michael Stratton", "Michael Stratton, Canon Steward", "Michael — Canon Steward", "UIAO Canon Steward — Infrastructure Engineering", "UIAO Governance Engineering", "UIAO Governance Team", "UIAO Governance OS — Architecture Team", and "UIAO Identity Modernization Program Office". Pick one author-line template and enforce it.</w:t>
      </w:r>
    </w:p>
    <w:p>
      <w:pPr>
        <w:pStyle w:val="ListParagraph"/>
        <w:numPr>
          <w:ilvl w:val="0"/>
          <w:numId w:val="2"/>
        </w:numPr>
        <w:spacing w:after="80"/>
      </w:pPr>
      <w:r>
        <w:rPr>
          <w:b/>
          <w:bCs/>
        </w:rPr>
        <w:t xml:space="preserve">Boundary wording drifts.</w:t>
      </w:r>
      <w:r>
        <w:t xml:space="preserve"> The boundary label appears as "GCC-Moderate", "GCC-Moderate (M365 SaaS only — no Azure PaaS/IaaS)", "GCC-Moderate Commercial Cloud", and "GCC-Moderate (Azure Arc in Commercial Cloud — Explicit Exception Documentation)". The meaning is different in some cases (the Arc doc is deliberately calling out an exception), so a boundary-wording policy should codify the allowed forms.</w:t>
      </w:r>
    </w:p>
    <w:p>
      <w:pPr>
        <w:pStyle w:val="ListParagraph"/>
        <w:numPr>
          <w:ilvl w:val="0"/>
          <w:numId w:val="2"/>
        </w:numPr>
        <w:spacing w:after="80"/>
      </w:pPr>
      <w:r>
        <w:rPr>
          <w:b/>
          <w:bCs/>
        </w:rPr>
        <w:t xml:space="preserve">One document is missing governance metadata entirely.</w:t>
      </w:r>
      <w:r>
        <w:t xml:space="preserve"> Git on Windows Server 2025 with IIS (generic) has no Classification, Boundary, or Status line in the header. Either add them or move this document out of Canon (it is positioned as a generic how-to, which argues for being outside canon/).</w:t>
      </w:r>
    </w:p>
    <w:p>
      <w:pPr>
        <w:pStyle w:val="ListParagraph"/>
        <w:numPr>
          <w:ilvl w:val="0"/>
          <w:numId w:val="2"/>
        </w:numPr>
        <w:spacing w:after="80"/>
      </w:pPr>
      <w:r>
        <w:rPr>
          <w:b/>
          <w:bCs/>
        </w:rPr>
        <w:t xml:space="preserve">ADR-001 is still "PROPOSED".</w:t>
      </w:r>
      <w:r>
        <w:t xml:space="preserve"> The status line on UIAO Git Infrastructure reads Version 1.0 — PROPOSED. The rest of the corpus has clearly adopted the decision (the Platform Server Build Guide documents Gitea behind IIS as the implementation). If the decision is made, mark the ADR APPROVED with a dated decision record. If it is not made, mark the dependent documents as provisional.</w:t>
      </w:r>
    </w:p>
    <w:p>
      <w:pPr>
        <w:pStyle w:val="Heading1"/>
        <w:pageBreakBefore/>
        <w:spacing w:after="160" w:before="240"/>
      </w:pPr>
      <w:r>
        <w:rPr>
          <w:b/>
          <w:bCs/>
        </w:rPr>
        <w:t xml:space="preserve">5. Findings — Coverage and Gaps</w:t>
      </w:r>
    </w:p>
    <w:p>
      <w:pPr>
        <w:pStyle w:val="Heading2"/>
        <w:spacing w:after="120" w:before="200"/>
      </w:pPr>
      <w:r>
        <w:rPr>
          <w:b/>
          <w:bCs/>
        </w:rPr>
        <w:t xml:space="preserve">5.1 Where coverage is strong</w:t>
      </w:r>
    </w:p>
    <w:p>
      <w:pPr>
        <w:spacing w:after="120"/>
      </w:pPr>
      <w:r>
        <w:t xml:space="preserve">Assessment, modernization, and policy libraries are essentially complete for a GCC-Moderate M365 SaaS boundary. A reader can answer every one of the following questions from the corpus alone: what is in my AD forest today, what is the minimum privilege needed to find out, what does the target cloud architecture look like for each pillar, which GPO settings translate to which Intune or Conditional Access controls, and how does the migration sequence unfold week by week.</w:t>
      </w:r>
    </w:p>
    <w:p>
      <w:pPr>
        <w:spacing w:after="120"/>
      </w:pPr>
      <w:r>
        <w:t xml:space="preserve">The five pillars declared in the Master Project Plan (Identity, Devices, DNS, PKI, Server Management) each have a dedicated modernization guide, a PowerShell module (shipped or planned), and at least one policy library. That one-to-one pillar-to-document mapping is part of what makes the corpus easy to navigate.</w:t>
      </w:r>
    </w:p>
    <w:p>
      <w:pPr>
        <w:pStyle w:val="Heading2"/>
        <w:spacing w:after="120" w:before="200"/>
      </w:pPr>
      <w:r>
        <w:rPr>
          <w:b/>
          <w:bCs/>
        </w:rPr>
        <w:t xml:space="preserve">5.2 Gaps the corpus itself acknowledges</w:t>
      </w:r>
    </w:p>
    <w:p>
      <w:pPr>
        <w:spacing w:after="120"/>
      </w:pPr>
      <w:r>
        <w:t xml:space="preserve">The Sprint 1 delivery log (inside the transcript file) and the Master Project Plan §14 (Follow-On Document Roadmap) both flag the same backlog. These documents are promised but not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w:trPr>
          <w:tblHeader/>
        </w:trPr>
        <w:tc>
          <w:tcPr>
            <w:tcW w:type="dxa" w:w="9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Priority</w:t>
            </w:r>
          </w:p>
        </w:tc>
        <w:tc>
          <w:tcPr>
            <w:tcW w:type="dxa" w:w="50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Document</w:t>
            </w:r>
          </w:p>
        </w:tc>
        <w:tc>
          <w:tcPr>
            <w:tcW w:type="dxa" w:w="34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Status in corpus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P2</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Active-Passive Git Replication Guide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Announced in Sprint 2 transcript; not in upload</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P2</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Governance Dashboard Design</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Listed in backlog</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P2</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Quarto Pipeline Integration Guide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Referenced across multiple guides; no standalone doc</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P3</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Disaster Recovery Playbook</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Listed in backlog</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P3</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Operations Runbook</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Listed in backlog</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P3</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End User Training Guide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Listed in backlog</w:t>
            </w:r>
          </w:p>
        </w:tc>
      </w:tr>
    </w:tbl>
    <w:p>
      <w:r>
        <w:t xml:space="preserve"/>
      </w:r>
    </w:p>
    <w:p>
      <w:pPr>
        <w:spacing w:after="120"/>
      </w:pPr>
      <w:r>
        <w:t xml:space="preserve">Of these, the DR Playbook and the Governance Dashboard Design are the ones a federal assessor will ask for first — both are evidence artifacts for ATO. The Operations Runbook is the document that converts the corpus from a designer's canon into something a Tier-2 operator can actually run.</w:t>
      </w:r>
    </w:p>
    <w:p>
      <w:pPr>
        <w:pStyle w:val="Heading2"/>
        <w:spacing w:after="120" w:before="200"/>
      </w:pPr>
      <w:r>
        <w:rPr>
          <w:b/>
          <w:bCs/>
        </w:rPr>
        <w:t xml:space="preserve">5.3 Gaps the corpus does not acknowledge</w:t>
      </w:r>
    </w:p>
    <w:p>
      <w:pPr>
        <w:pStyle w:val="ListParagraph"/>
        <w:numPr>
          <w:ilvl w:val="0"/>
          <w:numId w:val="2"/>
        </w:numPr>
        <w:spacing w:after="80"/>
      </w:pPr>
      <w:r>
        <w:rPr>
          <w:b/>
          <w:bCs/>
        </w:rPr>
        <w:t xml:space="preserve">Licensing cost model.</w:t>
      </w:r>
      <w:r>
        <w:t xml:space="preserve"> Master Project Plan §12 lists the licenses required (Entra P2, Intune Plan 1, Intune Suite, Defender for Identity, Azure Arc) but does not sum a cost estimate per user, per device, or per seat band. Federal buyers plan by TCO; a single sample 1,000-user / 800-device walkthrough would close this gap.</w:t>
      </w:r>
    </w:p>
    <w:p>
      <w:pPr>
        <w:pStyle w:val="ListParagraph"/>
        <w:numPr>
          <w:ilvl w:val="0"/>
          <w:numId w:val="2"/>
        </w:numPr>
        <w:spacing w:after="80"/>
      </w:pPr>
      <w:r>
        <w:rPr>
          <w:b/>
          <w:bCs/>
        </w:rPr>
        <w:t xml:space="preserve">Compliance mapping depth.</w:t>
      </w:r>
      <w:r>
        <w:t xml:space="preserve"> Several documents reference NIST 800-53 and FedRAMP Moderate in the abstract, but only the Conditional Access library includes a compliance-mapping appendix. A corpus-level crosswalk (UIAO artifact → NIST control family → FedRAMP baseline control) is the artifact an ATO package expects.</w:t>
      </w:r>
    </w:p>
    <w:p>
      <w:pPr>
        <w:pStyle w:val="ListParagraph"/>
        <w:numPr>
          <w:ilvl w:val="0"/>
          <w:numId w:val="2"/>
        </w:numPr>
        <w:spacing w:after="80"/>
      </w:pPr>
      <w:r>
        <w:rPr>
          <w:b/>
          <w:bCs/>
        </w:rPr>
        <w:t xml:space="preserve">Higher-boundary boundaries.</w:t>
      </w:r>
      <w:r>
        <w:t xml:space="preserve"> Everything is scoped to GCC-Moderate. GCC-High and DoD IL4/IL5 are explicitly out of scope, which is honest, but readers in those boundaries will ask what changes. A short "Deployment Variants" appendix in the capstone would answer the question once.</w:t>
      </w:r>
    </w:p>
    <w:p>
      <w:pPr>
        <w:pStyle w:val="ListParagraph"/>
        <w:numPr>
          <w:ilvl w:val="0"/>
          <w:numId w:val="2"/>
        </w:numPr>
        <w:spacing w:after="80"/>
      </w:pPr>
      <w:r>
        <w:rPr>
          <w:b/>
          <w:bCs/>
        </w:rPr>
        <w:t xml:space="preserve">Rollback completeness.</w:t>
      </w:r>
      <w:r>
        <w:t xml:space="preserve"> Master Project Plan §8.3 documents cutover rollback, and several guides mention staged rollout. But there is no unified document that answers "what happens if we need to halt the program at week 20 and resume legacy operations" — the procedures are scattered.</w:t>
      </w:r>
    </w:p>
    <w:p>
      <w:pPr>
        <w:pStyle w:val="ListParagraph"/>
        <w:numPr>
          <w:ilvl w:val="0"/>
          <w:numId w:val="2"/>
        </w:numPr>
        <w:spacing w:after="80"/>
      </w:pPr>
      <w:r>
        <w:rPr>
          <w:b/>
          <w:bCs/>
        </w:rPr>
        <w:t xml:space="preserve">Third-party tool integration.</w:t>
      </w:r>
      <w:r>
        <w:t xml:space="preserve"> The Gap Analysis names ADRecon, PingCastle, BloodHound, and Purple Knight as complementary tools, and Import Adapters are defined for Microsoft tools. No adapter spec exists yet for the third-party tools, which is fine — but the omission is worth flagging because these are the tools many federal security teams already run.</w:t>
      </w:r>
    </w:p>
    <w:p>
      <w:pPr>
        <w:pStyle w:val="ListParagraph"/>
        <w:numPr>
          <w:ilvl w:val="0"/>
          <w:numId w:val="2"/>
        </w:numPr>
        <w:spacing w:after="80"/>
      </w:pPr>
      <w:r>
        <w:rPr>
          <w:b/>
          <w:bCs/>
        </w:rPr>
        <w:t xml:space="preserve">Test strategy.</w:t>
      </w:r>
      <w:r>
        <w:t xml:space="preserve"> There is a Governance Hook Test Matrix mentioned in passing and smoke tests in the Platform Server Build Guide, but no document articulates how PowerShell modules, policies, or the assessment pipeline are unit or integration tested. For a governance product, absence of a test strategy is itself a finding.</w:t>
      </w:r>
    </w:p>
    <w:p>
      <w:pPr>
        <w:pStyle w:val="Heading1"/>
        <w:pageBreakBefore/>
        <w:spacing w:after="160" w:before="240"/>
      </w:pPr>
      <w:r>
        <w:rPr>
          <w:b/>
          <w:bCs/>
        </w:rPr>
        <w:t xml:space="preserve">6. Findings — Consistency Across Documents</w:t>
      </w:r>
    </w:p>
    <w:p>
      <w:pPr>
        <w:pStyle w:val="Heading2"/>
        <w:spacing w:after="120" w:before="200"/>
      </w:pPr>
      <w:r>
        <w:rPr>
          <w:b/>
          <w:bCs/>
        </w:rPr>
        <w:t xml:space="preserve">6.1 Architectural contradiction on Git hosting</w:t>
      </w:r>
    </w:p>
    <w:p>
      <w:pPr>
        <w:spacing w:after="120"/>
      </w:pPr>
      <w:r>
        <w:t xml:space="preserve">The most material inconsistency in the corpus is that three documents describe Git infrastructure and two of them document the architecture that the third rejects.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Document</w:t>
            </w:r>
          </w:p>
        </w:tc>
        <w:tc>
          <w:tcPr>
            <w:tcW w:type="dxa" w:w="38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Architecture documented</w:t>
            </w:r>
          </w:p>
        </w:tc>
        <w:tc>
          <w:tcPr>
            <w:tcW w:type="dxa" w:w="27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ADR-001 verdict</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Git Infrastructure — ADR-001</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Gitea on Windows Server 2025 behind IIS reverse proxy</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RECOMMENDED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Platform Server Build Guide</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Gitea on Windows Server 2025 behind IIS reverse proxy</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Implements the recommendation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Git Server — WS2025 with IIS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IIS + git-http-backend.exe (CGI), no Gitea</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ADR Option A — "Insufficient alone"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 on Windows Server 2025 with IIS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IIS + git-http-backend.exe (CGI), no Gitea</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ADR Option A — same rejected architecture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spacing w:after="60"/>
            </w:pPr>
            <w:r>
              <w:rPr>
                <w:b/>
                <w:bCs/>
              </w:rPr>
              <w:t xml:space="preserve">Why this matters</w:t>
            </w:r>
          </w:p>
          <w:p>
            <w:r>
              <w:t xml:space="preserve">A reader who finds one of the IIS+CGI guides first will spend several hours building the architecture that ADR-001 explicitly rejects as unable to satisfy the UIAO governance vision ("fails 7 of 12 requirements entirely"). The corpus needs either (a) a SUPERSEDED-BY: ADR-001 banner at the top of both IIS+CGI guides, (b) archival of those guides outside the canon path, or (c) explicit repositioning as "minimal/legacy mode" with a scope statement that explains when an operator would choose them.</w:t>
            </w:r>
          </w:p>
        </w:tc>
      </w:tr>
    </w:tbl>
    <w:p>
      <w:pPr>
        <w:pStyle w:val="Heading2"/>
        <w:spacing w:after="120" w:before="200"/>
      </w:pPr>
      <w:r>
        <w:rPr>
          <w:b/>
          <w:bCs/>
        </w:rPr>
        <w:t xml:space="preserve">6.2 PowerShell module function count discrepancy</w:t>
      </w:r>
    </w:p>
    <w:p>
      <w:pPr>
        <w:spacing w:after="120"/>
      </w:pPr>
      <w:r>
        <w:t xml:space="preserve">Two documents report function counts for the four shipped UIAO PowerShell modules. They do not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Module</w:t>
            </w:r>
          </w:p>
        </w:tc>
        <w:tc>
          <w:tcPr>
            <w:tcW w:type="dxa" w:w="31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PowerShell Module Reference (v1.0, 21 Apr)</w:t>
            </w:r>
          </w:p>
        </w:tc>
        <w:tc>
          <w:tcPr>
            <w:tcW w:type="dxa" w:w="31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Sprint 1 Delivery Log (in platform transcript)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UIAOADAssessment</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 functions</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14 functions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UIAODNSAssessment</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8 functions</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 functions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UIAOPKIAssessment</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 functions</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8 functions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UIAOReadOnlyAssessment</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 functions</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8 functions</w:t>
            </w:r>
          </w:p>
        </w:tc>
      </w:tr>
    </w:tbl>
    <w:p>
      <w:r>
        <w:t xml:space="preserve"/>
      </w:r>
    </w:p>
    <w:p>
      <w:pPr>
        <w:spacing w:after="120"/>
      </w:pPr>
      <w:r>
        <w:t xml:space="preserve">Both sources are dated within a day of each other and both claim to describe what shipped. The most likely explanation is that the Module Reference was written against the public API surface (exported functions) while the delivery log counted every function in the .psm1 (including private helpers). If so, the fix is to state that convention explicitly in the PowerShell Module Reference; if not, the numbers need to be reconciled before the Reference is treated as authoritative.</w:t>
      </w:r>
    </w:p>
    <w:p>
      <w:pPr>
        <w:spacing w:after="120"/>
      </w:pPr>
      <w:r>
        <w:t xml:space="preserve">This is the kind of drift that is easy to create and expensive to leave uncorrected. A third party diffing the two documents concludes one of them is stale, and therefore that the entire corpus might be.</w:t>
      </w:r>
    </w:p>
    <w:p>
      <w:pPr>
        <w:pStyle w:val="Heading2"/>
        <w:spacing w:after="120" w:before="200"/>
      </w:pPr>
      <w:r>
        <w:rPr>
          <w:b/>
          <w:bCs/>
        </w:rPr>
        <w:t xml:space="preserve">6.3 Boundary-exception wording</w:t>
      </w:r>
    </w:p>
    <w:p>
      <w:pPr>
        <w:spacing w:after="120"/>
      </w:pPr>
      <w:r>
        <w:t xml:space="preserve">Most documents declare a simple GCC-Moderate boundary. The Azure Arc Policy Library carries a longer, more precise boundary line that acknowledges Arc is a Commercial Cloud service being used inside a GCC-Moderate program. That is correct technical reality. The rest of the corpus leaves the same issue implicit — Azure DNS Private Resolver, Cloud PKI, and some Intune features live in the same grey zone.</w:t>
      </w:r>
    </w:p>
    <w:p>
      <w:pPr>
        <w:spacing w:after="120"/>
      </w:pPr>
      <w:r>
        <w:t xml:space="preserve">Recommendation: define the boundary-exception wording once (in the Master Project Plan or a Canon style guide) and reference it from every document that touches a service that is not actually inside GCC-Moderate.</w:t>
      </w:r>
    </w:p>
    <w:p>
      <w:pPr>
        <w:pStyle w:val="Heading2"/>
        <w:spacing w:after="120" w:before="200"/>
      </w:pPr>
      <w:r>
        <w:rPr>
          <w:b/>
          <w:bCs/>
        </w:rPr>
        <w:t xml:space="preserve">6.4 Version and date drift across siblings</w:t>
      </w:r>
    </w:p>
    <w:p>
      <w:pPr>
        <w:spacing w:after="120"/>
      </w:pPr>
      <w:r>
        <w:t xml:space="preserve">Conditional Access Policy Library is the only document at Version 2.0; everything else is at 1.0. Effective dates are April 20 or April 21, 2026, depending on the document — readable as two sprints, but not labeled as such. A simple Canon Registry table with Document ID, current version, and current date would make the vintage of each artifact obvious at a glance.</w:t>
      </w:r>
    </w:p>
    <w:p>
      <w:pPr>
        <w:pStyle w:val="Heading1"/>
        <w:pageBreakBefore/>
        <w:spacing w:after="160" w:before="240"/>
      </w:pPr>
      <w:r>
        <w:rPr>
          <w:b/>
          <w:bCs/>
        </w:rPr>
        <w:t xml:space="preserve">7. Findings — Strategic and Product Fit</w:t>
      </w:r>
    </w:p>
    <w:p>
      <w:pPr>
        <w:pStyle w:val="Heading2"/>
        <w:spacing w:after="120" w:before="200"/>
      </w:pPr>
      <w:r>
        <w:rPr>
          <w:b/>
          <w:bCs/>
        </w:rPr>
        <w:t xml:space="preserve">7.1 The positioning is the real product</w:t>
      </w:r>
    </w:p>
    <w:p>
      <w:pPr>
        <w:spacing w:after="120"/>
      </w:pPr>
      <w:r>
        <w:t xml:space="preserve">The gap analysis in UIAO vs. Microsoft Native Tools is the single strongest strategic artifact in the corpus. The thesis is crisp: Microsoft ships twelve point tools that collectively cover roughly 40% of technical discovery and approximately 22% of the governance surface when orchestration, drift detection, and cross-correlation are factored in. UIAO is not a competitor; it is the orchestration layer that consumes those tools' outputs and produces governance-grade artifacts with provenance. The "instruments vs. orchestra" line is the sort of metaphor that survives contact with a VC pitch.</w:t>
      </w:r>
    </w:p>
    <w:p>
      <w:pPr>
        <w:spacing w:after="120"/>
      </w:pPr>
      <w:r>
        <w:t xml:space="preserve">This is the narrative that should lead every piece of outward-facing material — the landing page, the GitHub README, the FedRAMP-forum post. It is currently buried inside a 5,400-word document that a first-time visitor will not find.</w:t>
      </w:r>
    </w:p>
    <w:p>
      <w:pPr>
        <w:pStyle w:val="Heading2"/>
        <w:spacing w:after="120" w:before="200"/>
      </w:pPr>
      <w:r>
        <w:rPr>
          <w:b/>
          <w:bCs/>
        </w:rPr>
        <w:t xml:space="preserve">7.2 What this means for the prior PyPI / GitHub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spacing w:after="60"/>
            </w:pPr>
            <w:r>
              <w:rPr>
                <w:b/>
                <w:bCs/>
              </w:rPr>
              <w:t xml:space="preserve">Correction to earlier advice</w:t>
            </w:r>
          </w:p>
          <w:p>
            <w:r>
              <w:t xml:space="preserve">Earlier in this conversation Claude recommended a PyPI-first distribution strategy based on filename evidence (uiao-core, uiao-impl, uiao-docs, uiao-gos). The uploaded corpus shows that framing is wrong. The real shippable artifacts are PowerShell modules, Gitea configuration, IIS web.config, Git server-side hooks, and a large body of governance documentation. Python packaging is at best a secondary channel. The distribution plan should be reworked.</w:t>
            </w:r>
          </w:p>
        </w:tc>
      </w:tr>
    </w:tbl>
    <w:p>
      <w:pPr>
        <w:spacing w:after="120"/>
      </w:pPr>
      <w:r>
        <w:t xml:space="preserve">Revised distribution targets, in priority order:</w:t>
      </w:r>
    </w:p>
    <w:p>
      <w:pPr>
        <w:pStyle w:val="ListParagraph"/>
        <w:numPr>
          <w:ilvl w:val="0"/>
          <w:numId w:val="3"/>
        </w:numPr>
        <w:spacing w:after="80"/>
      </w:pPr>
      <w:r>
        <w:t xml:space="preserve">PowerShell Gallery. The four shipped modules (UIAOADAssessment, UIAODNSAssessment, UIAOPKIAssessment, UIAOReadOnlyAssessment) should be signed, given proper .psd1 manifests (the transcript notes three of four manifests were still missing), and published. This is the natural home for PowerShell modules and the one most likely to be discovered by federal AD engineers.</w:t>
      </w:r>
    </w:p>
    <w:p>
      <w:pPr>
        <w:pStyle w:val="ListParagraph"/>
        <w:numPr>
          <w:ilvl w:val="0"/>
          <w:numId w:val="3"/>
        </w:numPr>
        <w:spacing w:after="80"/>
      </w:pPr>
      <w:r>
        <w:t xml:space="preserve">GitHub Releases with signed artifacts. Each corpus release should bundle the PowerShell modules, Gitea app.ini, IIS web.config, Git hooks, and the docx canon as a signed release asset. This is the archive the Platform Server Build Guide actually references.</w:t>
      </w:r>
    </w:p>
    <w:p>
      <w:pPr>
        <w:pStyle w:val="ListParagraph"/>
        <w:numPr>
          <w:ilvl w:val="0"/>
          <w:numId w:val="3"/>
        </w:numPr>
        <w:spacing w:after="80"/>
      </w:pPr>
      <w:r>
        <w:t xml:space="preserve">A docs site — but not yet. The earlier recommendation for a GitHub Pages landing page still stands, but it should lead with the Gap Analysis narrative, not with a Python install line. The site can ship after PowerShell Gallery is live.</w:t>
      </w:r>
    </w:p>
    <w:p>
      <w:pPr>
        <w:pStyle w:val="ListParagraph"/>
        <w:numPr>
          <w:ilvl w:val="0"/>
          <w:numId w:val="3"/>
        </w:numPr>
        <w:spacing w:after="80"/>
      </w:pPr>
      <w:r>
        <w:t xml:space="preserve">PyPI — only if and when Python tooling emerges. The Planned Modules list (UIAOImportAdapters, UIAOPlanGenerators, UIAODriftDetection) could plausibly spawn Python packages if adapters need to consume JSON-schema validation or render dashboards with Python tooling. Nothing shipped today justifies a PyPI presence.</w:t>
      </w:r>
    </w:p>
    <w:p>
      <w:pPr>
        <w:pStyle w:val="Heading2"/>
        <w:spacing w:after="120" w:before="200"/>
      </w:pPr>
      <w:r>
        <w:rPr>
          <w:b/>
          <w:bCs/>
        </w:rPr>
        <w:t xml:space="preserve">7.3 Federal buyer readiness</w:t>
      </w:r>
    </w:p>
    <w:p>
      <w:pPr>
        <w:spacing w:after="120"/>
      </w:pPr>
      <w:r>
        <w:t xml:space="preserve">The corpus positions itself for federal customers and uses the right vocabulary (ATO, controls, FOUO prohibitions in pre-receive hooks, GCC-Moderate, FedRAMP Moderate Rev 5). Three gaps stand between the current state and a defensible pre-ATO package:</w:t>
      </w:r>
    </w:p>
    <w:p>
      <w:pPr>
        <w:pStyle w:val="ListParagraph"/>
        <w:numPr>
          <w:ilvl w:val="0"/>
          <w:numId w:val="2"/>
        </w:numPr>
        <w:spacing w:after="80"/>
      </w:pPr>
      <w:r>
        <w:rPr>
          <w:b/>
          <w:bCs/>
        </w:rPr>
        <w:t xml:space="preserve">Compliance crosswalk.</w:t>
      </w:r>
      <w:r>
        <w:t xml:space="preserve"> A corpus-wide NIST 800-53 and FedRAMP Moderate mapping — which UIAO document addresses which control family — is the single most valuable remaining artifact. A short workbook is enough; it does not need to be a 300-page SSP.</w:t>
      </w:r>
    </w:p>
    <w:p>
      <w:pPr>
        <w:pStyle w:val="ListParagraph"/>
        <w:numPr>
          <w:ilvl w:val="0"/>
          <w:numId w:val="2"/>
        </w:numPr>
        <w:spacing w:after="80"/>
      </w:pPr>
      <w:r>
        <w:rPr>
          <w:b/>
          <w:bCs/>
        </w:rPr>
        <w:t xml:space="preserve">Independent validation.</w:t>
      </w:r>
      <w:r>
        <w:t xml:space="preserve"> No document describes how UIAO assessment output is validated against a known ground truth. ADRecon and Purple Knight are explicitly cited in the Gap Analysis as validation references — a short "validation methodology" section or appendix naming that practice would strengthen the story.</w:t>
      </w:r>
    </w:p>
    <w:p>
      <w:pPr>
        <w:pStyle w:val="ListParagraph"/>
        <w:numPr>
          <w:ilvl w:val="0"/>
          <w:numId w:val="2"/>
        </w:numPr>
        <w:spacing w:after="80"/>
      </w:pPr>
      <w:r>
        <w:rPr>
          <w:b/>
          <w:bCs/>
        </w:rPr>
        <w:t xml:space="preserve">Evidence chain.</w:t>
      </w:r>
      <w:r>
        <w:t xml:space="preserve"> The corpus refers to Gitea-committed artifacts as audit evidence. An auditor will ask for a worked example: here is a drift event, here is the Git commit that records it, here is the issue opened on detection, here is the remediation commit, here is the closeout signature. One walkthrough is sufficient.</w:t>
      </w:r>
    </w:p>
    <w:p>
      <w:pPr>
        <w:pStyle w:val="Heading1"/>
        <w:pageBreakBefore/>
        <w:spacing w:after="160" w:before="240"/>
      </w:pPr>
      <w:r>
        <w:rPr>
          <w:b/>
          <w:bCs/>
        </w:rPr>
        <w:t xml:space="preserve">8. Prioritized Recommendations</w:t>
      </w:r>
    </w:p>
    <w:p>
      <w:pPr>
        <w:spacing w:after="120"/>
      </w:pPr>
      <w:r>
        <w:t xml:space="preserve">Ordered by impact-over-effort. Tier 1 items are corrections that materially change how an outside reader receives the corpus; anything in Tier 2 or lower is refinement.</w:t>
      </w:r>
    </w:p>
    <w:p>
      <w:pPr>
        <w:pStyle w:val="Heading2"/>
        <w:spacing w:after="120" w:before="200"/>
      </w:pPr>
      <w:r>
        <w:rPr>
          <w:b/>
          <w:bCs/>
        </w:rPr>
        <w:t xml:space="preserve">Tier 1 — do before any external distribution</w:t>
      </w:r>
    </w:p>
    <w:p>
      <w:pPr>
        <w:pStyle w:val="ListParagraph"/>
        <w:numPr>
          <w:ilvl w:val="0"/>
          <w:numId w:val="3"/>
        </w:numPr>
        <w:spacing w:after="80"/>
      </w:pPr>
      <w:r>
        <w:t xml:space="preserve">Remove or rewrite "UIAO platform and modernization guides.docx". This file contains an unedited Copilot generation transcript and must not reach a customer or auditor. (§4.1)</w:t>
      </w:r>
    </w:p>
    <w:p>
      <w:pPr>
        <w:pStyle w:val="ListParagraph"/>
        <w:numPr>
          <w:ilvl w:val="0"/>
          <w:numId w:val="3"/>
        </w:numPr>
        <w:spacing w:after="80"/>
      </w:pPr>
      <w:r>
        <w:t xml:space="preserve">Reconcile the Git hosting architecture. Either deprecate the two IIS+CGI guides with a clear SUPERSEDED-BY: ADR-001 banner, archive them outside Canon, or reposition them as explicit minimal-mode options. Promote ADR-001 from PROPOSED to APPROVED. (§6.1, §4.3)</w:t>
      </w:r>
    </w:p>
    <w:p>
      <w:pPr>
        <w:pStyle w:val="ListParagraph"/>
        <w:numPr>
          <w:ilvl w:val="0"/>
          <w:numId w:val="3"/>
        </w:numPr>
        <w:spacing w:after="80"/>
      </w:pPr>
      <w:r>
        <w:t xml:space="preserve">Reconcile the PowerShell module function counts. Pick one number per module, state the counting rule (exported functions vs. total functions), and update every document that cites counts. (§6.2)</w:t>
      </w:r>
    </w:p>
    <w:p>
      <w:pPr>
        <w:pStyle w:val="ListParagraph"/>
        <w:numPr>
          <w:ilvl w:val="0"/>
          <w:numId w:val="3"/>
        </w:numPr>
        <w:spacing w:after="80"/>
      </w:pPr>
      <w:r>
        <w:t xml:space="preserve">Ship the missing module manifests. The .psd1 files for UIAODNSAssessment, UIAOPKIAssessment, and UIAOReadOnlyAssessment were flagged in the Sprint 1 report as not yet written. They are a prerequisite for PowerShell Gallery publishing. (§7.2)</w:t>
      </w:r>
    </w:p>
    <w:p>
      <w:pPr>
        <w:pStyle w:val="Heading2"/>
        <w:spacing w:after="120" w:before="200"/>
      </w:pPr>
      <w:r>
        <w:rPr>
          <w:b/>
          <w:bCs/>
        </w:rPr>
        <w:t xml:space="preserve">Tier 2 — finish the Canon housekeeping</w:t>
      </w:r>
    </w:p>
    <w:p>
      <w:pPr>
        <w:pStyle w:val="ListParagraph"/>
        <w:numPr>
          <w:ilvl w:val="0"/>
          <w:numId w:val="3"/>
        </w:numPr>
        <w:spacing w:after="80"/>
      </w:pPr>
      <w:r>
        <w:t xml:space="preserve">Publish a Canon style guide. Define the author-line template, Classification values, Boundary-exception wording, diagram ID format, and header banner. Apply across all 17 remaining documents. (§4.3, §6.3)</w:t>
      </w:r>
    </w:p>
    <w:p>
      <w:pPr>
        <w:pStyle w:val="ListParagraph"/>
        <w:numPr>
          <w:ilvl w:val="0"/>
          <w:numId w:val="3"/>
        </w:numPr>
        <w:spacing w:after="80"/>
      </w:pPr>
      <w:r>
        <w:t xml:space="preserve">Generate or embed the referenced diagrams. At minimum: UIAO-MPP-D001 (program timeline), UIAO-MPP-D002 (milestone dependency network), UIAO-MPP-D003 (phase transition flow). These are cited by ID; reader expectation is that they exist.</w:t>
      </w:r>
    </w:p>
    <w:p>
      <w:pPr>
        <w:pStyle w:val="ListParagraph"/>
        <w:numPr>
          <w:ilvl w:val="0"/>
          <w:numId w:val="3"/>
        </w:numPr>
        <w:spacing w:after="80"/>
      </w:pPr>
      <w:r>
        <w:t xml:space="preserve">Use semantic docx heading styles. Without them, the Canon is not navigable in Word, does not render a usable TOC, and is not accessible. A one-time template sweep fixes all 18 documents.</w:t>
      </w:r>
    </w:p>
    <w:p>
      <w:pPr>
        <w:pStyle w:val="ListParagraph"/>
        <w:numPr>
          <w:ilvl w:val="0"/>
          <w:numId w:val="3"/>
        </w:numPr>
        <w:spacing w:after="80"/>
      </w:pPr>
      <w:r>
        <w:t xml:space="preserve">Ship the P2 documents that are acknowledged in the backlog. Disaster Recovery Playbook, Operations Runbook, and Governance Dashboard Design are the three an ATO package will want. Order them deliberately.</w:t>
      </w:r>
    </w:p>
    <w:p>
      <w:pPr>
        <w:pStyle w:val="Heading2"/>
        <w:spacing w:after="120" w:before="200"/>
      </w:pPr>
      <w:r>
        <w:rPr>
          <w:b/>
          <w:bCs/>
        </w:rPr>
        <w:t xml:space="preserve">Tier 3 — strengthen the strategic surface</w:t>
      </w:r>
    </w:p>
    <w:p>
      <w:pPr>
        <w:pStyle w:val="ListParagraph"/>
        <w:numPr>
          <w:ilvl w:val="0"/>
          <w:numId w:val="3"/>
        </w:numPr>
        <w:spacing w:after="80"/>
      </w:pPr>
      <w:r>
        <w:t xml:space="preserve">Build the compliance crosswalk. A corpus-wide mapping of UIAO artifacts to NIST 800-53 control families and FedRAMP Moderate baselines. A workbook is enough. (§7.3)</w:t>
      </w:r>
    </w:p>
    <w:p>
      <w:pPr>
        <w:pStyle w:val="ListParagraph"/>
        <w:numPr>
          <w:ilvl w:val="0"/>
          <w:numId w:val="3"/>
        </w:numPr>
        <w:spacing w:after="80"/>
      </w:pPr>
      <w:r>
        <w:t xml:space="preserve">Pull the gap-analysis narrative forward. The "instruments vs. orchestra" positioning should lead the README, the eventual landing page, and any announcement post. It is currently buried in a 5,400-word document. (§7.1)</w:t>
      </w:r>
    </w:p>
    <w:p>
      <w:pPr>
        <w:pStyle w:val="ListParagraph"/>
        <w:numPr>
          <w:ilvl w:val="0"/>
          <w:numId w:val="3"/>
        </w:numPr>
        <w:spacing w:after="80"/>
      </w:pPr>
      <w:r>
        <w:t xml:space="preserve">Re-aim the distribution plan at PowerShell Gallery and signed GitHub Releases. Treat PyPI as optional future scope. (§7.2)</w:t>
      </w:r>
    </w:p>
    <w:p>
      <w:pPr>
        <w:pStyle w:val="ListParagraph"/>
        <w:numPr>
          <w:ilvl w:val="0"/>
          <w:numId w:val="3"/>
        </w:numPr>
        <w:spacing w:after="80"/>
      </w:pPr>
      <w:r>
        <w:t xml:space="preserve">Add a worked governance-evidence example. One drift event, tracked from detection through Gitea commit through remediation to closeout. One page. Enormous credibility lift for federal audiences. (§7.3)</w:t>
      </w:r>
    </w:p>
    <w:p>
      <w:pPr>
        <w:pStyle w:val="Heading2"/>
        <w:spacing w:after="120" w:before="200"/>
      </w:pPr>
      <w:r>
        <w:rPr>
          <w:b/>
          <w:bCs/>
        </w:rPr>
        <w:t xml:space="preserve">Tier 4 — nice-to-haves</w:t>
      </w:r>
    </w:p>
    <w:p>
      <w:pPr>
        <w:pStyle w:val="ListParagraph"/>
        <w:numPr>
          <w:ilvl w:val="0"/>
          <w:numId w:val="2"/>
        </w:numPr>
        <w:spacing w:after="80"/>
      </w:pPr>
      <w:r>
        <w:t xml:space="preserve">Document the deployment-variant deltas for GCC-High and DoD IL4/IL5 readers (appendix to the capstone).</w:t>
      </w:r>
    </w:p>
    <w:p>
      <w:pPr>
        <w:pStyle w:val="ListParagraph"/>
        <w:numPr>
          <w:ilvl w:val="0"/>
          <w:numId w:val="2"/>
        </w:numPr>
        <w:spacing w:after="80"/>
      </w:pPr>
      <w:r>
        <w:t xml:space="preserve">Add a rollback-to-legacy summary consolidating the scattered rollback procedures.</w:t>
      </w:r>
    </w:p>
    <w:p>
      <w:pPr>
        <w:pStyle w:val="ListParagraph"/>
        <w:numPr>
          <w:ilvl w:val="0"/>
          <w:numId w:val="2"/>
        </w:numPr>
        <w:spacing w:after="80"/>
      </w:pPr>
      <w:r>
        <w:t xml:space="preserve">Specify adapter interfaces for ADRecon, PingCastle, BloodHound, Purple Knight — the third-party side the Gap Analysis already validates.</w:t>
      </w:r>
    </w:p>
    <w:p>
      <w:pPr>
        <w:pStyle w:val="ListParagraph"/>
        <w:numPr>
          <w:ilvl w:val="0"/>
          <w:numId w:val="2"/>
        </w:numPr>
        <w:spacing w:after="80"/>
      </w:pPr>
      <w:r>
        <w:t xml:space="preserve">Publish a Canon Registry (Document ID → current version → current date) as a one-page index.</w:t>
      </w:r>
    </w:p>
    <w:p>
      <w:pPr>
        <w:pStyle w:val="Heading1"/>
        <w:pageBreakBefore/>
        <w:spacing w:after="160" w:before="240"/>
      </w:pPr>
      <w:r>
        <w:rPr>
          <w:b/>
          <w:bCs/>
        </w:rPr>
        <w:t xml:space="preserve">Appendix A — Per-Document Scorecard</w:t>
      </w:r>
    </w:p>
    <w:p>
      <w:pPr>
        <w:spacing w:after="120"/>
      </w:pPr>
      <w:r>
        <w:t xml:space="preserve">Scores are Claude's subjective assessment on a 1–5 scale across four dimensions. Q = quality/writing, C = coverage/completeness for its stated scope, X = consistency with the rest of the corpus, S = strategic/product-fit contribution. "Notes" highlights the single most useful next edit.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
        <w:gridCol w:w="500"/>
        <w:gridCol w:w="500"/>
        <w:gridCol w:w="500"/>
        <w:gridCol w:w="4560"/>
      </w:tblGrid>
      <w:tr>
        <w:trPr>
          <w:tblHeader/>
        </w:trPr>
        <w:tc>
          <w:tcPr>
            <w:tcW w:type="dxa" w:w="28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Document</w:t>
            </w:r>
          </w:p>
        </w:tc>
        <w:tc>
          <w:tcPr>
            <w:tcW w:type="dxa" w:w="5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Q</w:t>
            </w:r>
          </w:p>
        </w:tc>
        <w:tc>
          <w:tcPr>
            <w:tcW w:type="dxa" w:w="5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w:t>
            </w:r>
          </w:p>
        </w:tc>
        <w:tc>
          <w:tcPr>
            <w:tcW w:type="dxa" w:w="5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X</w:t>
            </w:r>
          </w:p>
        </w:tc>
        <w:tc>
          <w:tcPr>
            <w:tcW w:type="dxa" w:w="5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S</w:t>
            </w:r>
          </w:p>
        </w:tc>
        <w:tc>
          <w:tcPr>
            <w:tcW w:type="dxa" w:w="45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Next edit</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Master Project Plan</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Embed the three referenced diagrams; promote to primary reading order</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vs. Microsoft Native Tools (Gap Analysis)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Pull the positioning into the README / landing page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Identity Modernization Guide</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Ship as-is; anchor it in the compliance crosswalk</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PKI Modernization Guide</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Same — crosswalk to NIST IA family</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DNS Modernization Guide</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Clarify Azure DNS Private Resolver boundary exception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AD Interaction Guide</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Reconcile module function counts with PS Reference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Read-Only AD Assessment Guide</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Highlight as the first module a new operator runs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PowerShell Module Reference</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Fix function counts; state counting convention; generate .psd1 for three modules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CLI and Operations Guide</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Normalize against final Gitea+IIS architecture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Platform Server Build Guide (Gitea+IIS)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Mark as the authoritative build guide; link from READMEs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Git Infrastructure — ADR-001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Promote from PROPOSED to APPROVED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Git Server — WS2025 with IIS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Add SUPERSEDED-BY banner or archive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 on Windows Server 2025 with IIS (generic)</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Add metadata header; archive or reposition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 Computer Object Conversion Guide</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Short edit pass for style-guide compliance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Conditional Access Policy Library</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Only v2.0 in the set — explain the version bump inline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Intune Policy Templates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Ship as-is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Azure Arc Policy Library</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Expand boundary-exception wording into a Canon-wide policy</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platform and modernization guides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Remove from Canon or rewrite the overview half</w:t>
            </w:r>
          </w:p>
        </w:tc>
      </w:tr>
    </w:tbl>
    <w:p>
      <w:r>
        <w:t xml:space="preserve"/>
      </w:r>
    </w:p>
    <w:p>
      <w:pPr>
        <w:spacing w:after="120"/>
      </w:pPr>
      <w:r>
        <w:t xml:space="preserve">The two low-scoring entries (Git Server — WS2025 with IIS; Git on Windows Server 2025 with IIS; platform and modernization guides) account for almost all of the assessment's specific concerns. Fixing those three, plus the function-count reconciliation, addresses the majority of this review.</w:t>
      </w:r>
    </w:p>
    <w:p>
      <w:pPr>
        <w:pStyle w:val="Heading1"/>
        <w:pageBreakBefore/>
        <w:spacing w:after="160" w:before="240"/>
      </w:pPr>
      <w:r>
        <w:rPr>
          <w:b/>
          <w:bCs/>
        </w:rPr>
        <w:t xml:space="preserve">Closing Note</w:t>
      </w:r>
    </w:p>
    <w:p>
      <w:pPr>
        <w:spacing w:after="120"/>
      </w:pPr>
      <w:r>
        <w:t xml:space="preserve">Reviewed as a body of work, the UIAO corpus is impressive. It is the kind of thing a seasoned federal architect would take weeks to produce and months to keep consistent — and this one does both reasonably well. The findings above read long because thoroughness was requested, not because the corpus is weak. The actionable edits fit in a single focused week; after that, the remaining opportunity is external — getting the gap-analysis narrative in front of the audiences it is already engineered to reach.</w:t>
      </w:r>
    </w:p>
    <w:p>
      <w:pPr>
        <w:spacing w:after="120"/>
      </w:pPr>
      <w:r>
        <w:rPr>
          <w:i/>
          <w:iCs/>
          <w:color w:val="666666"/>
        </w:rPr>
        <w:t xml:space="preserve">— Prepared by Claude (Cowork), 21 April 2026. This assessment was written against the 18 uploaded .docx files only; no repository, code, or live system was examined.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UIAO Corpus Assessment  |  Controlled  |  GCC-Moderate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2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Documentation Corpus — Assessment</dc:title>
  <dc:creator>Claude (Cowork)</dc:creator>
  <dc:description>Quality, coverage, consistency, and strategic-fit assessment of the 18-document UIAO canon</dc:description>
  <cp:lastModifiedBy>Un-named</cp:lastModifiedBy>
  <cp:revision>1</cp:revision>
  <dcterms:created xsi:type="dcterms:W3CDTF">2026-04-21T13:07:27.528Z</dcterms:created>
  <dcterms:modified xsi:type="dcterms:W3CDTF">2026-04-21T13:07:27.529Z</dcterms:modified>
</cp:coreProperties>
</file>

<file path=docProps/custom.xml><?xml version="1.0" encoding="utf-8"?>
<Properties xmlns="http://schemas.openxmlformats.org/officeDocument/2006/custom-properties" xmlns:vt="http://schemas.openxmlformats.org/officeDocument/2006/docPropsVTypes"/>
</file>