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19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19</w:t>
      </w:r>
    </w:p>
    <w:p>
      <w:pPr>
        <w:pStyle w:val="Subtitle"/>
      </w:pP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Authorization</w:t>
      </w:r>
      <w:r>
        <w:t xml:space="preserve"> </w:t>
      </w:r>
      <w:r>
        <w:t xml:space="preserve">Package,</w:t>
      </w:r>
      <w:r>
        <w:t xml:space="preserve"> </w:t>
      </w:r>
      <w:r>
        <w:t xml:space="preserve">Continuous</w:t>
      </w:r>
      <w:r>
        <w:t xml:space="preserve"> </w:t>
      </w:r>
      <w:r>
        <w:t xml:space="preserve">Monitoring,</w:t>
      </w:r>
      <w:r>
        <w:t xml:space="preserve"> </w:t>
      </w:r>
      <w:r>
        <w:t xml:space="preserve">and</w:t>
      </w:r>
      <w:r>
        <w:t xml:space="preserve"> </w:t>
      </w:r>
      <w:r>
        <w:t xml:space="preserve">BOD</w:t>
      </w:r>
      <w:r>
        <w:t xml:space="preserve"> </w:t>
      </w:r>
      <w:r>
        <w:t xml:space="preserve">26-04</w:t>
      </w:r>
      <w:r>
        <w:t xml:space="preserve"> </w:t>
      </w:r>
      <w:r>
        <w:t xml:space="preserve">Submission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</w:p>
    <w:bookmarkStart w:id="2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the nineteenth and final book in the Federal Application-Aware Networking</w:t>
      </w:r>
      <w:r>
        <w:t xml:space="preserve"> </w:t>
      </w:r>
      <w:r>
        <w:t xml:space="preserve">(AAN) series. Parts 1–18 generated the evidence layer: infrastructure</w:t>
      </w:r>
      <w:r>
        <w:t xml:space="preserve"> </w:t>
      </w:r>
      <w:r>
        <w:t xml:space="preserve">architecture, security controls, governance artifacts, and training records</w:t>
      </w:r>
      <w:r>
        <w:t xml:space="preserve"> </w:t>
      </w:r>
      <w:r>
        <w:t xml:space="preserve">mapped to NIST SP 800-53 Rev 5 controls and FedRAMP 20x Consolidated Rules for</w:t>
      </w:r>
      <w:r>
        <w:t xml:space="preserve"> </w:t>
      </w:r>
      <w:r>
        <w:t xml:space="preserve">29 CR26 KSIs. This document assembles those artifacts into the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package</w:t>
      </w:r>
      <w:r>
        <w:t xml:space="preserve"> </w:t>
      </w:r>
      <w:r>
        <w:t xml:space="preserve">— the formal submission that requests a FedRAMP Authorization to</w:t>
      </w:r>
      <w:r>
        <w:t xml:space="preserve"> </w:t>
      </w:r>
      <w:r>
        <w:t xml:space="preserve">Operate (ATO).</w:t>
      </w:r>
    </w:p>
    <w:p>
      <w:pPr>
        <w:pStyle w:val="BodyText"/>
      </w:pPr>
      <w:r>
        <w:t xml:space="preserve">Part 19 addresses four deliverables: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Authorization Package Structure</w:t>
      </w:r>
      <w:r>
        <w:t xml:space="preserve"> </w:t>
      </w:r>
      <w:r>
        <w:t xml:space="preserve">— what documents, in which format, submitted where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Monitoring Program</w:t>
      </w:r>
      <w:r>
        <w:t xml:space="preserve"> </w:t>
      </w:r>
      <w:r>
        <w:t xml:space="preserve">— how the evidence stays fresh after ATO (CA-7)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 26-04 VDR/VER Submission</w:t>
      </w:r>
      <w:r>
        <w:t xml:space="preserve"> </w:t>
      </w:r>
      <w:r>
        <w:t xml:space="preserve">— the December 7, 2026 SBOM + vendor disclosure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OSCAL AP+AR+POAM Bundle</w:t>
      </w:r>
      <w:r>
        <w:t xml:space="preserve"> </w:t>
      </w:r>
      <w:r>
        <w:t xml:space="preserve">— the machine-readable KSI evidence package</w:t>
      </w:r>
    </w:p>
    <w:p>
      <w:pPr>
        <w:pStyle w:val="FirstParagraph"/>
      </w:pPr>
      <w:r>
        <w:t xml:space="preserve">Controls closed by this document: CA-2, CA-5, CA-6, CA-7, CA-7(1), CA-7(3),</w:t>
      </w:r>
      <w:r>
        <w:t xml:space="preserve"> </w:t>
      </w:r>
      <w:r>
        <w:t xml:space="preserve">RA-3, SA-15.</w:t>
      </w:r>
    </w:p>
    <w:p>
      <w:r>
        <w:pict>
          <v:rect style="width:0;height:1.5pt" o:hralign="center" o:hrstd="t" o:hr="t"/>
        </w:pict>
      </w:r>
    </w:p>
    <w:bookmarkEnd w:id="20"/>
    <w:bookmarkStart w:id="26" w:name="X4f11e25de9bc717d08a69ad931794ea2c42322f"/>
    <w:p>
      <w:pPr>
        <w:pStyle w:val="Heading1"/>
      </w:pPr>
      <w:r>
        <w:t xml:space="preserve">1 The Eighteen-Book Journey — All 29 KSIs Evaluable at High Confidence</w:t>
      </w:r>
    </w:p>
    <w:bookmarkStart w:id="21" w:name="series-summary"/>
    <w:p>
      <w:pPr>
        <w:pStyle w:val="Heading2"/>
      </w:pPr>
      <w:r>
        <w:t xml:space="preserve">1.1 Series Summary</w:t>
      </w:r>
    </w:p>
    <w:p>
      <w:pPr>
        <w:pStyle w:val="FirstParagraph"/>
      </w:pPr>
      <w:r>
        <w:t xml:space="preserve">The Federal AAN series delivered eighteen technical books covering the SSA GCC</w:t>
      </w:r>
      <w:r>
        <w:t xml:space="preserve"> </w:t>
      </w:r>
      <w:r>
        <w:t xml:space="preserve">Moderate boundary against NIST SP 800-53 Rev 5 and FedRAMP 20x Consolidated</w:t>
      </w:r>
      <w:r>
        <w:t xml:space="preserve"> </w:t>
      </w:r>
      <w:r>
        <w:t xml:space="preserve">Rules. Together the series closes</w:t>
      </w:r>
      <w:r>
        <w:t xml:space="preserve"> </w:t>
      </w:r>
      <w:r>
        <w:rPr>
          <w:bCs/>
          <w:b/>
        </w:rPr>
        <w:t xml:space="preserve">89+ distinct NIST controls</w:t>
      </w:r>
      <w:r>
        <w:t xml:space="preserve"> </w:t>
      </w:r>
      <w:r>
        <w:t xml:space="preserve">and provides</w:t>
      </w:r>
      <w:r>
        <w:t xml:space="preserve"> </w:t>
      </w:r>
      <w:r>
        <w:t xml:space="preserve">self-assessed evidence for all</w:t>
      </w:r>
      <w:r>
        <w:t xml:space="preserve"> </w:t>
      </w:r>
      <w:r>
        <w:rPr>
          <w:bCs/>
          <w:b/>
        </w:rPr>
        <w:t xml:space="preserve">29 FedRAMP 20x CR26 KSIs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Self-Assessment Notice.</w:t>
      </w:r>
      <w:r>
        <w:t xml:space="preserve"> </w:t>
      </w:r>
      <w:r>
        <w:t xml:space="preserve">All KSI verdicts in this document are produced by</w:t>
      </w:r>
      <w:r>
        <w:t xml:space="preserve"> </w:t>
      </w:r>
      <w:r>
        <w:t xml:space="preserve">the UIAO Conformance Adapter — an automated self-assessment tool. They are</w:t>
      </w:r>
      <w:r>
        <w:t xml:space="preserve"> </w:t>
      </w:r>
      <w:r>
        <w:t xml:space="preserve">advisory and do not constitute a formal authorization. Results must be</w:t>
      </w:r>
      <w:r>
        <w:t xml:space="preserve"> </w:t>
      </w:r>
      <w:r>
        <w:t xml:space="preserve">independently validated by a FedRAMP-recognized 3PAO and accepted by the</w:t>
      </w:r>
      <w:r>
        <w:t xml:space="preserve"> </w:t>
      </w:r>
      <w:r>
        <w:t xml:space="preserve">Agency Authorizing Official before an ATO is granted.</w:t>
      </w:r>
    </w:p>
    <w:p>
      <w:pPr>
        <w:pStyle w:val="TableCaption"/>
      </w:pPr>
      <w:r>
        <w:t xml:space="preserve">Federal AAN Series — Control Coverage Summary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eral AAN Series — Control Coverage Summary {.striped .hover}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DDI — IPAM, DNS, DHCP, 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Access Control — 802.1X device identity at the port (device-identity evidence for the network and endpoint slot families)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IA-3, IA-3(1), AC-19, SC-7(3), SC-7(5), CM-8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and Tokens — cryptographic identity (PKI lifecycle, OAuth/OIDC, CBA; identity slot family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IA-2(1)/(2), IA-5(2), SC-12, SC-17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HRIT and the Identity &amp; Organizational SSOT — Oracle HCM Cloud as the HR system of record (identity slot family evidence, slot-01)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AC-2, AC-2(1), PS-4, PS-5, IA-4, SI-12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family (depth)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SC/SI families (depth)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SR-1–3/5/6/8/10/11 + BOD 26-04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PM-1/2/5/7/9/11/14/15/30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PT-1/2/3/4/5/7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AT-2(1)/2, AT-3, AT-3(3)/5, AT-4, CP-3, IR-2</w:t>
            </w:r>
          </w:p>
        </w:tc>
      </w:tr>
    </w:tbl>
    <w:bookmarkEnd w:id="21"/>
    <w:bookmarkStart w:id="25" w:name="ksi-scorecard"/>
    <w:p>
      <w:pPr>
        <w:pStyle w:val="Heading2"/>
      </w:pPr>
      <w:r>
        <w:t xml:space="preserve">1.2 KSI Scorecard</w:t>
      </w:r>
    </w:p>
    <w:p>
      <w:pPr>
        <w:pStyle w:val="FirstParagraph"/>
      </w:pPr>
      <w:r>
        <w:t xml:space="preserve">The UIAO Conformance Adapter evaluates all 29 FedRAMP 20x CR26 KSIs against the</w:t>
      </w:r>
      <w:r>
        <w:t xml:space="preserve"> </w:t>
      </w:r>
      <w:r>
        <w:t xml:space="preserve">AAN slot evidence. As of July 4, 2026 (self-assessment — pending 3PAO validation):</w:t>
      </w:r>
    </w:p>
    <w:p>
      <w:pPr>
        <w:pStyle w:val="TableCaption"/>
      </w:pPr>
      <w:r>
        <w:t xml:space="preserve">KSI Evaluation Summary — 29/29 Evaluable at High Confidence (Self-Assessed)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 Evaluation Summary — 29/29 Evaluable at High Confidence (Self-Assessed) {.striped .hover}"/>
      </w:tblPr>
      <w:tblGrid>
        <w:gridCol w:w="3090"/>
        <w:gridCol w:w="1352"/>
        <w:gridCol w:w="1738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ScuBA adapter (M365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KSI-001..010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AAN slot evaluator — high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KSI-011..029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Scaffold (pending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29 CR26 KSIs evaluated at high confidence in the current self-assessment run.</w:t>
      </w:r>
      <w:r>
        <w:t xml:space="preserve"> </w:t>
      </w:r>
      <w:r>
        <w:t xml:space="preserve">Zero open risks identified. Zero POA&amp;M items generated. These results are</w:t>
      </w:r>
      <w:r>
        <w:t xml:space="preserve"> </w:t>
      </w:r>
      <w:r>
        <w:t xml:space="preserve">advisory pending independent 3PAO validation. The OSCAL Assessment Results (AR)</w:t>
      </w:r>
      <w:r>
        <w:t xml:space="preserve"> </w:t>
      </w:r>
      <w:r>
        <w:t xml:space="preserve">document is the machine-readable CA-2 deliverable.</w:t>
      </w:r>
    </w:p>
    <w:p>
      <w:pPr>
        <w:pStyle w:val="BodyText"/>
      </w:pPr>
      <w:r>
        <w:t xml:space="preserve">The authoritative closure-necessity view of these rules — which of the 29 KSIs</w:t>
      </w:r>
      <w:r>
        <w:t xml:space="preserve"> </w:t>
      </w:r>
      <w:r>
        <w:t xml:space="preserve">are attestable by conformance tooling alone, and which close only because a</w:t>
      </w:r>
      <w:r>
        <w:t xml:space="preserve"> </w:t>
      </w:r>
      <w:r>
        <w:t xml:space="preserve">series book built the evidence slot behind them — lives in Book 00, in the</w:t>
      </w:r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The KSI Closure Necessity Matrix.</w:t>
      </w:r>
      <w:r>
        <w:t xml:space="preserve">”</w:t>
      </w:r>
      <w:r>
        <w:t xml:space="preserve"> </w:t>
      </w:r>
      <w:r>
        <w:t xml:space="preserve">This book deliberately does not</w:t>
      </w:r>
      <w:r>
        <w:t xml:space="preserve"> </w:t>
      </w:r>
      <w:r>
        <w:t xml:space="preserve">restate that matrix. What it carries is the evidence procedure layer: how each</w:t>
      </w:r>
      <w:r>
        <w:t xml:space="preserve"> </w:t>
      </w:r>
      <w:r>
        <w:t xml:space="preserve">slot’s artifacts are generated, refreshed on the ConMon cadence, and assembled</w:t>
      </w:r>
      <w:r>
        <w:t xml:space="preserve"> </w:t>
      </w:r>
      <w:r>
        <w:t xml:space="preserve">into the authorization package.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edRAMP 20x Authorization Package Structure" title="" id="23" name="Picture"/>
            <a:graphic>
              <a:graphicData uri="http://schemas.openxmlformats.org/drawingml/2006/picture">
                <pic:pic>
                  <pic:nvPicPr>
                    <pic:cNvPr descr="figs/ato-fig-01-package-stru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FedRAMP 20x Authorization Package 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7d46b70c40397f6c0118ffafaf8fcea05c8cc2a"/>
    <w:p>
      <w:pPr>
        <w:pStyle w:val="Heading1"/>
      </w:pPr>
      <w:r>
        <w:t xml:space="preserve">2 OSCAL Bundle — Machine-Readable KSI Evidence (CA-2, CA-5)</w:t>
      </w:r>
    </w:p>
    <w:bookmarkStart w:id="27" w:name="bundle-architecture"/>
    <w:p>
      <w:pPr>
        <w:pStyle w:val="Heading2"/>
      </w:pPr>
      <w:r>
        <w:t xml:space="preserve">2.1 Bundle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 </w:t>
      </w:r>
      <w:r>
        <w:t xml:space="preserve">command generates three interlinked OSCAL 1.0.4 documents</w:t>
      </w:r>
      <w:r>
        <w:t xml:space="preserve"> </w:t>
      </w:r>
      <w:r>
        <w:t xml:space="preserve">that constitute the machine-readable KSI evidence package:</w:t>
      </w:r>
    </w:p>
    <w:p>
      <w:pPr>
        <w:pStyle w:val="TableCaption"/>
      </w:pPr>
      <w:r>
        <w:t xml:space="preserve">OSCAL Bundle Documents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OSCAL Bundle Documents {.striped .hover}"/>
      </w:tblPr>
      <w:tblGrid>
        <w:gridCol w:w="2084"/>
        <w:gridCol w:w="1250"/>
        <w:gridCol w:w="2709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Plan (AP)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ksi-ap.json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what was assessed, which controls, and by which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Results (AR)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ksi-ar.json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findings, verdicts, and risks for all 29 KSIs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of Action and Milestones (POA&amp;M)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ksi-poam.json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open findings and remediation milestones (zero items currently)</w:t>
            </w:r>
          </w:p>
        </w:tc>
      </w:tr>
    </w:tbl>
    <w:p>
      <w:pPr>
        <w:pStyle w:val="BodyText"/>
      </w:pPr>
      <w:r>
        <w:t xml:space="preserve">The three documents are linked by UUID reference:</w:t>
      </w:r>
    </w:p>
    <w:p>
      <w:pPr>
        <w:numPr>
          <w:ilvl w:val="0"/>
          <w:numId w:val="1002"/>
        </w:numPr>
        <w:pStyle w:val="Compact"/>
      </w:pPr>
      <w:r>
        <w:t xml:space="preserve">The AP specifies what was planned (</w:t>
      </w:r>
      <w:r>
        <w:rPr>
          <w:rStyle w:val="VerbatimChar"/>
        </w:rPr>
        <w:t xml:space="preserve">assessment-plan.uuid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The AR imports the AP (</w:t>
      </w:r>
      <w:r>
        <w:rPr>
          <w:rStyle w:val="VerbatimChar"/>
        </w:rPr>
        <w:t xml:space="preserve">import-ap.href = "#&lt;ap-uuid&gt;"</w:t>
      </w:r>
      <w:r>
        <w:t xml:space="preserve">) and records results</w:t>
      </w:r>
    </w:p>
    <w:p>
      <w:pPr>
        <w:numPr>
          <w:ilvl w:val="0"/>
          <w:numId w:val="1002"/>
        </w:numPr>
        <w:pStyle w:val="Compact"/>
      </w:pPr>
      <w:r>
        <w:t xml:space="preserve">The POA&amp;M imports the AP (</w:t>
      </w:r>
      <w:r>
        <w:rPr>
          <w:rStyle w:val="VerbatimChar"/>
        </w:rPr>
        <w:t xml:space="preserve">import-ap.href = "#&lt;ap-uuid&gt;"</w:t>
      </w:r>
      <w:r>
        <w:t xml:space="preserve">) and references AR observations</w:t>
      </w:r>
    </w:p>
    <w:bookmarkEnd w:id="27"/>
    <w:bookmarkStart w:id="28" w:name="generating-the-bundle"/>
    <w:p>
      <w:pPr>
        <w:pStyle w:val="Heading2"/>
      </w:pPr>
      <w:r>
        <w:t xml:space="preserve">2.2 Generating the Bundle</w:t>
      </w:r>
    </w:p>
    <w:p>
      <w:pPr>
        <w:pStyle w:val="SourceCode"/>
      </w:pPr>
      <w:r>
        <w:rPr>
          <w:rStyle w:val="CommentTok"/>
        </w:rPr>
        <w:t xml:space="preserve"># Generate AP + AR + POA&amp;M for the SSA GCC Moderate boundary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output/artifacts/ksi-bundle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output/artifacts/ksi-bundle/ksi-ap.json</w:t>
      </w:r>
      <w:r>
        <w:br/>
      </w:r>
      <w:r>
        <w:rPr>
          <w:rStyle w:val="CommentTok"/>
        </w:rPr>
        <w:t xml:space="preserve">#   output/artifacts/ksi-bundle/ksi-ar.json</w:t>
      </w:r>
      <w:r>
        <w:br/>
      </w:r>
      <w:r>
        <w:rPr>
          <w:rStyle w:val="CommentTok"/>
        </w:rPr>
        <w:t xml:space="preserve">#   output/artifacts/ksi-bundle/ksi-poam.json</w:t>
      </w:r>
      <w:r>
        <w:br/>
      </w:r>
      <w:r>
        <w:rPr>
          <w:rStyle w:val="CommentTok"/>
        </w:rPr>
        <w:t xml:space="preserve">#   output/artifacts/ksi-bundle/artifact-index.json</w:t>
      </w:r>
    </w:p>
    <w:p>
      <w:pPr>
        <w:pStyle w:val="FirstParagraph"/>
      </w:pPr>
      <w:r>
        <w:t xml:space="preserve">The bundle is regenerated as part of ConMon cadence — monthly for ongoing</w:t>
      </w:r>
      <w:r>
        <w:t xml:space="preserve"> </w:t>
      </w:r>
      <w:r>
        <w:t xml:space="preserve">monitoring, and on-demand for the authorization package submission.</w:t>
      </w:r>
    </w:p>
    <w:bookmarkEnd w:id="28"/>
    <w:bookmarkStart w:id="29" w:name="assessment-plan-structure"/>
    <w:p>
      <w:pPr>
        <w:pStyle w:val="Heading2"/>
      </w:pPr>
      <w:r>
        <w:t xml:space="preserve">2.3 Assessment Plan Structure</w:t>
      </w:r>
    </w:p>
    <w:p>
      <w:pPr>
        <w:pStyle w:val="FirstParagraph"/>
      </w:pPr>
      <w:r>
        <w:t xml:space="preserve">The AP is organized around the ten KSI themes from FedRAMP 20x:</w:t>
      </w:r>
    </w:p>
    <w:p>
      <w:pPr>
        <w:pStyle w:val="TableCaption"/>
      </w:pPr>
      <w:r>
        <w:t xml:space="preserve">KSI Themes and Evidence Slots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 Themes and Evidence Slots {.striped .hover}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Slot(s)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KSI-001, KSI-003, KSI-009, KSI-017–019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slot-01 identity;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KSI-004, KSI-007, 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slot-03/04;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slot-03;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KSI-005, KSI-006, KSI-010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slot-02/04;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KSI-011–014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KSI-015, KSI-016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KSI-PIY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KSI-020, KSI-021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KSI-023–025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slot-04/07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KSI-026–029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slot-08 training</w:t>
            </w:r>
          </w:p>
        </w:tc>
      </w:tr>
    </w:tbl>
    <w:bookmarkEnd w:id="29"/>
    <w:bookmarkStart w:id="30" w:name="assessment-results-finding-structure"/>
    <w:p>
      <w:pPr>
        <w:pStyle w:val="Heading2"/>
      </w:pPr>
      <w:r>
        <w:t xml:space="preserve">2.4 Assessment Results — Finding Structure</w:t>
      </w:r>
    </w:p>
    <w:p>
      <w:pPr>
        <w:pStyle w:val="FirstParagraph"/>
      </w:pPr>
      <w:r>
        <w:t xml:space="preserve">Each of the 29 findings in the AR carries: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target.status.state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ksi-id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cr26-control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mapping-confidence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observations</w:t>
      </w:r>
      <w:r>
        <w:t xml:space="preserve">: linked observation with description, artifact refs, and slot IDs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risks</w:t>
      </w:r>
      <w:r>
        <w:t xml:space="preserve">: open only for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findings (zero in current run)</w:t>
      </w:r>
    </w:p>
    <w:p>
      <w:pPr>
        <w:pStyle w:val="FirstParagraph"/>
      </w:pPr>
      <w:r>
        <w:t xml:space="preserve">The AR is the machine-readable equivalent of a Security Assessment Report (SAR)</w:t>
      </w:r>
      <w:r>
        <w:t xml:space="preserve"> </w:t>
      </w:r>
      <w:r>
        <w:t xml:space="preserve">for the KSI evidence dimension. It satisfies</w:t>
      </w:r>
      <w:r>
        <w:t xml:space="preserve"> </w:t>
      </w:r>
      <w:r>
        <w:rPr>
          <w:bCs/>
          <w:b/>
        </w:rPr>
        <w:t xml:space="preserve">CA-2 (Security Assessments)</w:t>
      </w:r>
      <w:r>
        <w:t xml:space="preserve"> </w:t>
      </w:r>
      <w:r>
        <w:t xml:space="preserve">by</w:t>
      </w:r>
      <w:r>
        <w:t xml:space="preserve"> </w:t>
      </w:r>
      <w:r>
        <w:t xml:space="preserve">providing a documented, repeatable, automated assessment of all KSI controls.</w:t>
      </w:r>
    </w:p>
    <w:bookmarkEnd w:id="30"/>
    <w:bookmarkStart w:id="31" w:name="poam-status"/>
    <w:p>
      <w:pPr>
        <w:pStyle w:val="Heading2"/>
      </w:pPr>
      <w:r>
        <w:t xml:space="preserve">2.5 POA&amp;M Status</w:t>
      </w:r>
    </w:p>
    <w:p>
      <w:pPr>
        <w:pStyle w:val="FirstParagraph"/>
      </w:pPr>
      <w:r>
        <w:t xml:space="preserve">As of the July 4, 2026 bundle generation:</w:t>
      </w:r>
    </w:p>
    <w:p>
      <w:pPr>
        <w:pStyle w:val="SourceCode"/>
      </w:pPr>
      <w:r>
        <w:rPr>
          <w:rStyle w:val="VerbatimChar"/>
        </w:rPr>
        <w:t xml:space="preserve">Satisfied     : 29  (all 29 CR26 KSIs)</w:t>
      </w:r>
      <w:r>
        <w:br/>
      </w:r>
      <w:r>
        <w:rPr>
          <w:rStyle w:val="VerbatimChar"/>
        </w:rPr>
        <w:t xml:space="preserve">Not-satisfied : 0</w:t>
      </w:r>
      <w:r>
        <w:br/>
      </w:r>
      <w:r>
        <w:rPr>
          <w:rStyle w:val="VerbatimChar"/>
        </w:rPr>
        <w:t xml:space="preserve">Not-evaluated : 0</w:t>
      </w:r>
      <w:r>
        <w:br/>
      </w:r>
      <w:r>
        <w:rPr>
          <w:rStyle w:val="VerbatimChar"/>
        </w:rPr>
        <w:t xml:space="preserve">Open risks    : 0</w:t>
      </w:r>
      <w:r>
        <w:br/>
      </w:r>
      <w:r>
        <w:rPr>
          <w:rStyle w:val="VerbatimChar"/>
        </w:rPr>
        <w:t xml:space="preserve">POA&amp;M items   : 0</w:t>
      </w:r>
    </w:p>
    <w:p>
      <w:pPr>
        <w:pStyle w:val="FirstParagraph"/>
      </w:pPr>
      <w:r>
        <w:t xml:space="preserve">A zero-item POA&amp;M is the correct target state for the self-assessment — it means</w:t>
      </w:r>
      <w:r>
        <w:t xml:space="preserve"> </w:t>
      </w:r>
      <w:r>
        <w:t xml:space="preserve">all required controls are assessed as satisfied in the current adapter run. The POA&amp;M will be regenerated after each assessment</w:t>
      </w:r>
      <w:r>
        <w:t xml:space="preserve"> </w:t>
      </w:r>
      <w:r>
        <w:t xml:space="preserve">cycle; any findings that emerge (e.g., from a training completion gap or an</w:t>
      </w:r>
      <w:r>
        <w:t xml:space="preserve"> </w:t>
      </w:r>
      <w:r>
        <w:t xml:space="preserve">unrevoked privilege) will automatically populate it via the</w:t>
      </w:r>
      <w:r>
        <w:t xml:space="preserve"> </w:t>
      </w:r>
      <w:r>
        <w:rPr>
          <w:rStyle w:val="VerbatimChar"/>
        </w:rPr>
        <w:t xml:space="preserve">_extract_ar_gaps()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continuous-monitoring-program-ca-7"/>
    <w:p>
      <w:pPr>
        <w:pStyle w:val="Heading1"/>
      </w:pPr>
      <w:r>
        <w:t xml:space="preserve">3 Continuous Monitoring Program (CA-7)</w:t>
      </w:r>
    </w:p>
    <w:bookmarkStart w:id="36" w:name="conmon-framework"/>
    <w:p>
      <w:pPr>
        <w:pStyle w:val="Heading2"/>
      </w:pPr>
      <w:r>
        <w:t xml:space="preserve">3.1 ConMon Framework</w:t>
      </w:r>
    </w:p>
    <w:p>
      <w:pPr>
        <w:pStyle w:val="FirstParagraph"/>
      </w:pPr>
      <w:r>
        <w:t xml:space="preserve">CA-7 requires the organization to develop and implement a continuous monitoring</w:t>
      </w:r>
      <w:r>
        <w:t xml:space="preserve"> </w:t>
      </w:r>
      <w:r>
        <w:t xml:space="preserve">strategy that includes:</w:t>
      </w:r>
    </w:p>
    <w:p>
      <w:pPr>
        <w:numPr>
          <w:ilvl w:val="0"/>
          <w:numId w:val="1004"/>
        </w:numPr>
        <w:pStyle w:val="Compact"/>
      </w:pPr>
      <w:r>
        <w:t xml:space="preserve">Metrics for monitoring control effectiveness</w:t>
      </w:r>
    </w:p>
    <w:p>
      <w:pPr>
        <w:numPr>
          <w:ilvl w:val="0"/>
          <w:numId w:val="1004"/>
        </w:numPr>
        <w:pStyle w:val="Compact"/>
      </w:pPr>
      <w:r>
        <w:t xml:space="preserve">Frequencies for monitoring, assessment, and reporting</w:t>
      </w:r>
    </w:p>
    <w:p>
      <w:pPr>
        <w:numPr>
          <w:ilvl w:val="0"/>
          <w:numId w:val="1004"/>
        </w:numPr>
        <w:pStyle w:val="Compact"/>
      </w:pPr>
      <w:r>
        <w:t xml:space="preserve">Ongoing awareness training requirements</w:t>
      </w:r>
    </w:p>
    <w:p>
      <w:pPr>
        <w:numPr>
          <w:ilvl w:val="0"/>
          <w:numId w:val="1004"/>
        </w:numPr>
        <w:pStyle w:val="Compact"/>
      </w:pPr>
      <w:r>
        <w:t xml:space="preserve">Reporting to the Authorizing Official</w:t>
      </w:r>
    </w:p>
    <w:p>
      <w:pPr>
        <w:pStyle w:val="FirstParagraph"/>
      </w:pPr>
      <w:r>
        <w:t xml:space="preserve">The Federal AAN series provides the evidence generation layer. The ConMon</w:t>
      </w:r>
      <w:r>
        <w:t xml:space="preserve"> </w:t>
      </w:r>
      <w:r>
        <w:t xml:space="preserve">program operationalizes it on a recurring cadence.</w:t>
      </w:r>
    </w:p>
    <w:p>
      <w:pPr>
        <w:pStyle w:val="CaptionedFigure"/>
      </w:pPr>
      <w:r>
        <w:drawing>
          <wp:inline>
            <wp:extent cx="5334000" cy="2154115"/>
            <wp:effectExtent b="0" l="0" r="0" t="0"/>
            <wp:docPr descr="Continuous Monitoring Calendar — Annual Cadence" title="" id="34" name="Picture"/>
            <a:graphic>
              <a:graphicData uri="http://schemas.openxmlformats.org/drawingml/2006/picture">
                <pic:pic>
                  <pic:nvPicPr>
                    <pic:cNvPr descr="figs/ato-fig-02-conmon-calenda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Monitoring Calendar — Annual Cadence</w:t>
      </w:r>
    </w:p>
    <w:bookmarkEnd w:id="36"/>
    <w:bookmarkStart w:id="39" w:name="monthly-conmon-activities"/>
    <w:p>
      <w:pPr>
        <w:pStyle w:val="Heading2"/>
      </w:pPr>
      <w:r>
        <w:t xml:space="preserve">3.2 Monthly ConMon Activities</w:t>
      </w:r>
    </w:p>
    <w:p>
      <w:pPr>
        <w:pStyle w:val="TableCaption"/>
      </w:pPr>
      <w:r>
        <w:t xml:space="preserve">Monthly ConMon Activity Matrix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onthly ConMon Activity Matrix {.striped .hover}"/>
      </w:tblPr>
      <w:tblGrid>
        <w:gridCol w:w="2475"/>
        <w:gridCol w:w="1732"/>
        <w:gridCol w:w="148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AR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ksi-ar.json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ScuBA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baseline 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ScuBA drift triage +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scubadrift-verdicts.json</w:t>
            </w:r>
            <w:r>
              <w:t xml:space="preserve"> </w:t>
            </w:r>
            <w:r>
              <w:t xml:space="preserve">(dispositions + POA&amp;M linkage)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 ConMon dashboard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ConMon dashboard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 status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ISSM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ksi-poam.json</w:t>
            </w:r>
            <w:r>
              <w:t xml:space="preserve"> </w:t>
            </w:r>
            <w:r>
              <w:t xml:space="preserve">(zero-item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 scan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delta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+ 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BOM diff</w:t>
            </w:r>
          </w:p>
        </w:tc>
      </w:tr>
    </w:tbl>
    <w:bookmarkStart w:id="37" w:name="Xa1b68c0158c1f6020b92f599c0f5bae72bec36e"/>
    <w:p>
      <w:pPr>
        <w:pStyle w:val="Heading3"/>
      </w:pPr>
      <w:r>
        <w:t xml:space="preserve">The ScubaDrift Disposition Pipeline — Evidence Behind KSI-001..010</w:t>
      </w:r>
    </w:p>
    <w:p>
      <w:pPr>
        <w:pStyle w:val="FirstParagraph"/>
      </w:pPr>
      <w:r>
        <w:t xml:space="preserve">A point-in-time ScuBAGear report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passes today?</w:t>
      </w:r>
      <w:r>
        <w:rPr>
          <w:iCs/>
          <w:i/>
        </w:rPr>
        <w:t xml:space="preserve">”</w:t>
      </w:r>
      <w:r>
        <w:t xml:space="preserve"> </w:t>
      </w:r>
      <w:r>
        <w:t xml:space="preserve">It does not</w:t>
      </w:r>
      <w:r>
        <w:t xml:space="preserve"> </w:t>
      </w:r>
      <w:r>
        <w:t xml:space="preserve">answer the three questions an assessor asks next:</w:t>
      </w:r>
      <w:r>
        <w:t xml:space="preserve"> </w:t>
      </w:r>
      <w:r>
        <w:rPr>
          <w:iCs/>
          <w:i/>
        </w:rPr>
        <w:t xml:space="preserve">what changed since last</w:t>
      </w:r>
      <w:r>
        <w:rPr>
          <w:iCs/>
          <w:i/>
        </w:rPr>
        <w:t xml:space="preserve"> </w:t>
      </w:r>
      <w:r>
        <w:rPr>
          <w:iCs/>
          <w:i/>
        </w:rPr>
        <w:t xml:space="preserve">month, which failures are already governed by a documented risk acceptance,</w:t>
      </w:r>
      <w:r>
        <w:rPr>
          <w:iCs/>
          <w:i/>
        </w:rPr>
        <w:t xml:space="preserve"> </w:t>
      </w:r>
      <w:r>
        <w:rPr>
          <w:iCs/>
          <w:i/>
        </w:rPr>
        <w:t xml:space="preserve">and when does that acceptance lapse?</w:t>
      </w:r>
      <w:r>
        <w:t xml:space="preserve"> </w:t>
      </w:r>
      <w:r>
        <w:rPr>
          <w:bCs/>
          <w:b/>
        </w:rPr>
        <w:t xml:space="preserve">ScubaDrift</w:t>
      </w:r>
      <w:r>
        <w:t xml:space="preserve"> </w:t>
      </w:r>
      <w:r>
        <w:t xml:space="preserve">is the lifecycle layer</w:t>
      </w:r>
      <w:r>
        <w:t xml:space="preserve"> </w:t>
      </w:r>
      <w:r>
        <w:t xml:space="preserve">that answers them. It never touches the tenant — it consumes ScuBAGear’s JSON</w:t>
      </w:r>
      <w:r>
        <w:t xml:space="preserve"> </w:t>
      </w:r>
      <w:r>
        <w:t xml:space="preserve">output and the risk-acceptance register, and splits every failing policy into</w:t>
      </w:r>
      <w:r>
        <w:t xml:space="preserve"> </w:t>
      </w:r>
      <w:r>
        <w:t xml:space="preserve">exactly three dispositions:</w:t>
      </w:r>
    </w:p>
    <w:p>
      <w:pPr>
        <w:pStyle w:val="TableCaption"/>
      </w:pPr>
      <w:r>
        <w:t xml:space="preserve">ScubaDrift Dispositions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cubaDrift Dispositions {.striped .hover}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actionable_new_drift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Failing, no risk acceptance on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  <w:r>
              <w:t xml:space="preserve"> </w:t>
            </w:r>
            <w:r>
              <w:t xml:space="preserve">— gate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lapsed_acceptance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Failing, acceptance exists but expired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  <w:r>
              <w:t xml:space="preserve"> </w:t>
            </w:r>
            <w:r>
              <w:t xml:space="preserve">— gate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governed_exception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Failing, covered by an in-date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— gate passes, POA&amp;M-linked</w:t>
            </w:r>
          </w:p>
        </w:tc>
      </w:tr>
    </w:tbl>
    <w:p>
      <w:pPr>
        <w:pStyle w:val="BodyText"/>
      </w:pPr>
      <w:r>
        <w:t xml:space="preserve">The monthly loop: ScuBAGear assesses the tenant →</w:t>
      </w:r>
      <w:r>
        <w:t xml:space="preserve"> </w:t>
      </w:r>
      <w:r>
        <w:rPr>
          <w:rStyle w:val="VerbatimChar"/>
        </w:rPr>
        <w:t xml:space="preserve">scubadrift triage --json</w:t>
      </w:r>
      <w:r>
        <w:t xml:space="preserve"> </w:t>
      </w:r>
      <w:r>
        <w:t xml:space="preserve">produces dispositions →</w:t>
      </w:r>
      <w:r>
        <w:t xml:space="preserve"> </w:t>
      </w:r>
      <w:r>
        <w:rPr>
          <w:rStyle w:val="VerbatimChar"/>
        </w:rPr>
        <w:t xml:space="preserve">scubadrift gate</w:t>
      </w:r>
      <w:r>
        <w:t xml:space="preserve"> </w:t>
      </w:r>
      <w:r>
        <w:t xml:space="preserve">runs in the pipeline (exit non-zero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on new drift or a lapsed acceptance — governed exceptions never break</w:t>
      </w:r>
      <w:r>
        <w:t xml:space="preserve"> </w:t>
      </w:r>
      <w:r>
        <w:t xml:space="preserve">the build) →</w:t>
      </w:r>
      <w:r>
        <w:t xml:space="preserve"> </w:t>
      </w:r>
      <w:r>
        <w:rPr>
          <w:rStyle w:val="VerbatimChar"/>
        </w:rPr>
        <w:t xml:space="preserve">uiao oscal scuba-verdicts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output/artifacts/ksi-bundle/scubadrift-verdicts.json</w:t>
      </w:r>
      <w:r>
        <w:t xml:space="preserve"> </w:t>
      </w:r>
      <w:r>
        <w:t xml:space="preserve">with full provenance →</w:t>
      </w:r>
      <w:r>
        <w:t xml:space="preserve"> </w:t>
      </w:r>
      <w:r>
        <w:t xml:space="preserve">the AR refresh consumes it.</w:t>
      </w:r>
      <w:r>
        <w:t xml:space="preserve"> </w:t>
      </w:r>
      <w:r>
        <w:rPr>
          <w:rStyle w:val="VerbatimChar"/>
        </w:rPr>
        <w:t xml:space="preserve">scubadrift conmon-record</w:t>
      </w:r>
      <w:r>
        <w:t xml:space="preserve"> </w:t>
      </w:r>
      <w:r>
        <w:t xml:space="preserve">appends each run to the</w:t>
      </w:r>
      <w:r>
        <w:t xml:space="preserve"> </w:t>
      </w:r>
      <w:r>
        <w:t xml:space="preserve">history ledger, and</w:t>
      </w:r>
      <w:r>
        <w:t xml:space="preserve"> </w:t>
      </w:r>
      <w:r>
        <w:rPr>
          <w:rStyle w:val="VerbatimChar"/>
        </w:rPr>
        <w:t xml:space="preserve">scubadrift conmon-report</w:t>
      </w:r>
      <w:r>
        <w:t xml:space="preserve"> </w:t>
      </w:r>
      <w:r>
        <w:t xml:space="preserve">emits the posture trend and</w:t>
      </w:r>
      <w:r>
        <w:t xml:space="preserve"> </w:t>
      </w:r>
      <w:r>
        <w:t xml:space="preserve">remediation SLA aging that CA-7, NIST SP 800-137 (ISCM), and BOD 25-01 expect.</w:t>
      </w:r>
    </w:p>
    <w:p>
      <w:pPr>
        <w:pStyle w:val="BodyText"/>
      </w:pPr>
      <w:r>
        <w:t xml:space="preserve">A verdict entry looks like this (from the committed demonstration fixture):</w:t>
      </w:r>
    </w:p>
    <w:p>
      <w:pPr>
        <w:pStyle w:val="SourceCode"/>
      </w:pPr>
      <w:r>
        <w:rPr>
          <w:rStyle w:val="ErrorTok"/>
        </w:rPr>
        <w:t xml:space="preserve">"MS.AAD.3.1v1":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"governed_exception"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 until 2026-12-31 (POAM-SAMPLE-1042)"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"POAM-SAMPLE-1042"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what</w:t>
      </w:r>
      <w:r>
        <w:t xml:space="preserve"> </w:t>
      </w:r>
      <w:r>
        <w:t xml:space="preserve">“</w:t>
      </w:r>
      <w:r>
        <w:t xml:space="preserve">evidence-backed</w:t>
      </w:r>
      <w:r>
        <w:t xml:space="preserve">”</w:t>
      </w:r>
      <w:r>
        <w:t xml:space="preserve"> </w:t>
      </w:r>
      <w:r>
        <w:t xml:space="preserve">means for the ten configuration-surface KSI</w:t>
      </w:r>
      <w:r>
        <w:t xml:space="preserve"> </w:t>
      </w:r>
      <w:r>
        <w:t xml:space="preserve">rules: the OSCAL AR no longer asserts KSI-001..010 as satisfied because a</w:t>
      </w:r>
      <w:r>
        <w:t xml:space="preserve"> </w:t>
      </w:r>
      <w:r>
        <w:t xml:space="preserve">scanner ran — each verdict carries its result, its disposition, its governing</w:t>
      </w:r>
      <w:r>
        <w:t xml:space="preserve"> </w:t>
      </w:r>
      <w:r>
        <w:t xml:space="preserve">ticket, and its expiry, and a governed exception surfaces as a POA&amp;M-linked</w:t>
      </w:r>
      <w:r>
        <w:t xml:space="preserve"> </w:t>
      </w:r>
      <w:r>
        <w:t xml:space="preserve">entry rather than a silent pass. Retirable acceptances (exceptions whose</w:t>
      </w:r>
      <w:r>
        <w:t xml:space="preserve"> </w:t>
      </w:r>
      <w:r>
        <w:t xml:space="preserve">policy now passes) are flagged for removal from the register, so the</w:t>
      </w:r>
      <w:r>
        <w:t xml:space="preserve"> </w:t>
      </w:r>
      <w:r>
        <w:t xml:space="preserve">acceptance file cannot silently accumulate dead weight. All expiry math is</w:t>
      </w:r>
      <w:r>
        <w:t xml:space="preserve"> </w:t>
      </w:r>
      <w:r>
        <w:rPr>
          <w:rStyle w:val="VerbatimChar"/>
        </w:rPr>
        <w:t xml:space="preserve">--as-of</w:t>
      </w:r>
      <w:r>
        <w:t xml:space="preserve">-injected, so verdict runs are deterministic and reproducible for</w:t>
      </w:r>
      <w:r>
        <w:t xml:space="preserve"> </w:t>
      </w:r>
      <w:r>
        <w:t xml:space="preserve">the assessor.</w:t>
      </w:r>
    </w:p>
    <w:bookmarkEnd w:id="37"/>
    <w:bookmarkStart w:id="38" w:name="Xd988f19fb2a3d1855ce938f7e6784550f9b5c2d"/>
    <w:p>
      <w:pPr>
        <w:pStyle w:val="Heading3"/>
      </w:pPr>
      <w:r>
        <w:t xml:space="preserve">Why Not Secure Score or Compliance Manager?</w:t>
      </w:r>
    </w:p>
    <w:p>
      <w:pPr>
        <w:pStyle w:val="FirstParagraph"/>
      </w:pPr>
      <w:r>
        <w:t xml:space="preserve">The question an Authorizing Official will ask: Microsoft already ships posture</w:t>
      </w:r>
      <w:r>
        <w:t xml:space="preserve"> </w:t>
      </w:r>
      <w:r>
        <w:t xml:space="preserve">tooling — why is this pipeline not redundant? Because none of the Microsoft</w:t>
      </w:r>
      <w:r>
        <w:t xml:space="preserve"> </w:t>
      </w:r>
      <w:r>
        <w:t xml:space="preserve">offerings produce evidence an assessor can consume:</w:t>
      </w:r>
    </w:p>
    <w:p>
      <w:pPr>
        <w:pStyle w:val="TableCaption"/>
      </w:pPr>
      <w:r>
        <w:t xml:space="preserve">Vendor Posture Tooling vs. Disposition Evidence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Vendor Posture Tooling vs. Disposition Evidence {.striped .hover}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not this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Secure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posture score with trend and</w:t>
            </w:r>
            <w:r>
              <w:t xml:space="preserve"> </w:t>
            </w:r>
            <w:r>
              <w:t xml:space="preserve">“</w:t>
            </w:r>
            <w:r>
              <w:t xml:space="preserve">accepted risk</w:t>
            </w:r>
            <w:r>
              <w:t xml:space="preserve">”</w:t>
            </w:r>
            <w:r>
              <w:t xml:space="preserve"> </w:t>
            </w:r>
            <w:r>
              <w:t xml:space="preserve">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against Microsoft’s rubric, not the CISA SCuBA baseline; accepted-risk markers never expire and link to no POA&amp;M; no per-policy verdict artifact; cannot gate a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Purview Compliance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800-53 / FedRAMP assessment templates, improvement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workflow with largely manual evidence attachment; produces a score, not machine-readable per-control verdicts; no run-to-run drift, no expiry math, no OSCAL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Microsoft365DSC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configuration export, drift detection against your own snapshot,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means</w:t>
            </w:r>
            <w:r>
              <w:t xml:space="preserve"> </w:t>
            </w:r>
            <w:r>
              <w:t xml:space="preserve">“</w:t>
            </w:r>
            <w:r>
              <w:t xml:space="preserve">configuration changed versus my snapshot,</w:t>
            </w:r>
            <w:r>
              <w:t xml:space="preserve">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SCuBA verdict changed</w:t>
            </w:r>
            <w:r>
              <w:t xml:space="preserve">”</w:t>
            </w:r>
            <w:r>
              <w:t xml:space="preserve">; no risk-acceptance model; the baseline is the operator, not the regulator</w:t>
            </w:r>
          </w:p>
        </w:tc>
      </w:tr>
    </w:tbl>
    <w:p>
      <w:pPr>
        <w:pStyle w:val="BodyText"/>
      </w:pPr>
      <w:r>
        <w:t xml:space="preserve">The structural difference is authority and lifecycle. Secure Score and</w:t>
      </w:r>
      <w:r>
        <w:t xml:space="preserve"> </w:t>
      </w:r>
      <w:r>
        <w:t xml:space="preserve">Compliance Manager are the vendor grading its own product against its own</w:t>
      </w:r>
      <w:r>
        <w:t xml:space="preserve"> </w:t>
      </w:r>
      <w:r>
        <w:t xml:space="preserve">rubric — self-attestation, the evidence class an assessor discounts first.</w:t>
      </w:r>
      <w:r>
        <w:t xml:space="preserve"> </w:t>
      </w:r>
      <w:r>
        <w:t xml:space="preserve">ScuBAGear verdicts are against the regulator’s baseline, and ScubaDrift adds</w:t>
      </w:r>
      <w:r>
        <w:t xml:space="preserve"> </w:t>
      </w:r>
      <w:r>
        <w:t xml:space="preserve">what no vendor dashboard models: the governed exception that</w:t>
      </w:r>
      <w:r>
        <w:t xml:space="preserve"> </w:t>
      </w:r>
      <w:r>
        <w:rPr>
          <w:iCs/>
          <w:i/>
        </w:rPr>
        <w:t xml:space="preserve">expires</w:t>
      </w:r>
      <w:r>
        <w:t xml:space="preserve">, the</w:t>
      </w:r>
      <w:r>
        <w:t xml:space="preserve"> </w:t>
      </w:r>
      <w:r>
        <w:t xml:space="preserve">lapsed acceptance that becomes actionable, the retirable acceptance flagged as</w:t>
      </w:r>
      <w:r>
        <w:t xml:space="preserve"> </w:t>
      </w:r>
      <w:r>
        <w:t xml:space="preserve">dead weight, and a gate with deterministic, reproducible semantics. The vendor</w:t>
      </w:r>
      <w:r>
        <w:t xml:space="preserve"> </w:t>
      </w:r>
      <w:r>
        <w:t xml:space="preserve">tools tell you your posture; this pipeline proves it, over time, against</w:t>
      </w:r>
      <w:r>
        <w:t xml:space="preserve"> </w:t>
      </w:r>
      <w:r>
        <w:t xml:space="preserve">someone else’s baseline, with every exception governed and aging.</w:t>
      </w:r>
    </w:p>
    <w:bookmarkEnd w:id="38"/>
    <w:bookmarkEnd w:id="39"/>
    <w:bookmarkStart w:id="40" w:name="quarterly-activities"/>
    <w:p>
      <w:pPr>
        <w:pStyle w:val="Heading2"/>
      </w:pPr>
      <w:r>
        <w:t xml:space="preserve">3.3 Quarterly Activities</w:t>
      </w:r>
    </w:p>
    <w:p>
      <w:pPr>
        <w:pStyle w:val="TableCaption"/>
      </w:pPr>
      <w:r>
        <w:t xml:space="preserve">Quarterly ConMon Schedule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Quarterly ConMon Schedule {.striped .hover}"/>
      </w:tblPr>
      <w:tblGrid>
        <w:gridCol w:w="766"/>
        <w:gridCol w:w="2554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report from AR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AT-4, KSI-022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governance.training-effectiveness-record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binding confidence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YAML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AC-6, 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PIM access review</w:t>
            </w:r>
          </w:p>
        </w:tc>
      </w:tr>
    </w:tbl>
    <w:bookmarkEnd w:id="40"/>
    <w:bookmarkStart w:id="41" w:name="semi-annual-activities"/>
    <w:p>
      <w:pPr>
        <w:pStyle w:val="Heading2"/>
      </w:pPr>
      <w:r>
        <w:t xml:space="preserve">3.4 Semi-Annual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376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tabletop drill (SOC scenario exercise)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KSI-INR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18 §3 IR Drill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CP-3 contingency training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CP-3, 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14 §4 Tabletop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freshness + VDR/VER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SR-5, SR-6,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15 §5 VDR Pipeline</w:t>
            </w:r>
          </w:p>
        </w:tc>
      </w:tr>
    </w:tbl>
    <w:bookmarkEnd w:id="41"/>
    <w:bookmarkStart w:id="42" w:name="annual-activities"/>
    <w:p>
      <w:pPr>
        <w:pStyle w:val="Heading2"/>
      </w:pPr>
      <w:r>
        <w:t xml:space="preserve">3.5 Annual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741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KSI re-assessment (all 29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AT-2 annual security awareness training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KSI-CED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Training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 contingency plan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CP-2, 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PM-14 T&amp;T&amp;M plan annual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renewal package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Authorizing Official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SBOM annual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SR-11,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</w:tr>
    </w:tbl>
    <w:bookmarkEnd w:id="42"/>
    <w:bookmarkStart w:id="43" w:name="trend-analysis-ca-73"/>
    <w:p>
      <w:pPr>
        <w:pStyle w:val="Heading2"/>
      </w:pPr>
      <w:r>
        <w:t xml:space="preserve">3.6 Trend Analysis (CA-7(3))</w:t>
      </w:r>
    </w:p>
    <w:p>
      <w:pPr>
        <w:pStyle w:val="FirstParagraph"/>
      </w:pPr>
      <w:r>
        <w:t xml:space="preserve">The OSCAL AR tracks KSI verdict history across assessment cycles. Trend analysis</w:t>
      </w:r>
      <w:r>
        <w:t xml:space="preserve"> </w:t>
      </w:r>
      <w:r>
        <w:t xml:space="preserve">is performed quarterly by comparing the current AR against the previous three</w:t>
      </w:r>
      <w:r>
        <w:t xml:space="preserve"> </w:t>
      </w:r>
      <w:r>
        <w:t xml:space="preserve">months of AR snapshots:</w:t>
      </w:r>
    </w:p>
    <w:p>
      <w:pPr>
        <w:pStyle w:val="SourceCode"/>
      </w:pPr>
      <w:r>
        <w:rPr>
          <w:rStyle w:val="CommentTok"/>
        </w:rPr>
        <w:t xml:space="preserve"># Compare current AR with previous quarter's snapshot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ksi-ar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output/artifacts/ksi-bundle/ksi-ar-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Historical ARs accumulate in output/artifacts/ksi-bundle/history/</w:t>
      </w:r>
      <w:r>
        <w:br/>
      </w:r>
      <w:r>
        <w:rPr>
          <w:rStyle w:val="CommentTok"/>
        </w:rPr>
        <w:t xml:space="preserve"># Trend: satisfied count should be stable at 29; any drop triggers POA&amp;M entry</w:t>
      </w:r>
    </w:p>
    <w:p>
      <w:pPr>
        <w:pStyle w:val="FirstParagraph"/>
      </w:pPr>
      <w:r>
        <w:t xml:space="preserve">A downward trend in satisfied count (e.g., a training completion gap dropping</w:t>
      </w:r>
      <w:r>
        <w:t xml:space="preserve"> </w:t>
      </w:r>
      <w:r>
        <w:t xml:space="preserve">KSI-022 to not-satisfied) triggers automatic POA&amp;M creation on the next bundle</w:t>
      </w:r>
      <w:r>
        <w:t xml:space="preserve"> </w:t>
      </w:r>
      <w:r>
        <w:t xml:space="preserve">run, providing the AO with an early warning signal.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fedramp-20x-authorization-package-ca-6"/>
    <w:p>
      <w:pPr>
        <w:pStyle w:val="Heading1"/>
      </w:pPr>
      <w:r>
        <w:t xml:space="preserve">4 FedRAMP 20x Authorization Package (CA-6)</w:t>
      </w:r>
    </w:p>
    <w:bookmarkStart w:id="45" w:name="package-components"/>
    <w:p>
      <w:pPr>
        <w:pStyle w:val="Heading2"/>
      </w:pPr>
      <w:r>
        <w:t xml:space="preserve">4.1 Package Components</w:t>
      </w:r>
    </w:p>
    <w:p>
      <w:pPr>
        <w:pStyle w:val="FirstParagraph"/>
      </w:pPr>
      <w:r>
        <w:t xml:space="preserve">The FedRAMP 20x authorization package has a simpler structure than the Rev 5</w:t>
      </w:r>
      <w:r>
        <w:t xml:space="preserve"> </w:t>
      </w:r>
      <w:r>
        <w:t xml:space="preserve">package. FedRAMP 20x replaces the 325-control audit with a KSI-evidence model.</w:t>
      </w:r>
      <w:r>
        <w:t xml:space="preserve"> </w:t>
      </w:r>
      <w:r>
        <w:t xml:space="preserve">The authorization package consists of:</w:t>
      </w:r>
    </w:p>
    <w:p>
      <w:pPr>
        <w:pStyle w:val="TableCaption"/>
      </w:pPr>
      <w:r>
        <w:t xml:space="preserve">FedRAMP 20x Authorization Package — Component Index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RAMP 20x Authorization Package — Component Index {.striped .hover}"/>
      </w:tblPr>
      <w:tblGrid>
        <w:gridCol w:w="322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Security Plan (SSP)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generate ssp</w:t>
            </w:r>
            <w:r>
              <w:t xml:space="preserve"> </w:t>
            </w:r>
            <w:r>
              <w:t xml:space="preserve">(Part 1 architecture as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Assessment Plan (AP)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output/artifacts/ksi-bundle/ksi-ap.json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Assessment Results (AR)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output/artifacts/ksi-bundle/ksi-ar.json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of Action &amp;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output/artifacts/ksi-bundle/ksi-poam.json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AAN Evidence Book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1–18 (inbox/Application Aware Networking/)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VDR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1.6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15 SBOM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Effectiveness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governance.training-effectiveness-record</w:t>
            </w:r>
            <w:r>
              <w:t xml:space="preserve"> </w:t>
            </w:r>
            <w:r>
              <w:t xml:space="preserve">(Part 18)</w:t>
            </w:r>
          </w:p>
        </w:tc>
      </w:tr>
    </w:tbl>
    <w:bookmarkEnd w:id="45"/>
    <w:bookmarkStart w:id="46" w:name="submission-timeline"/>
    <w:p>
      <w:pPr>
        <w:pStyle w:val="Heading2"/>
      </w:pPr>
      <w:r>
        <w:t xml:space="preserve">4.2 Submission Timeline</w:t>
      </w:r>
    </w:p>
    <w:p>
      <w:pPr>
        <w:pStyle w:val="TableCaption"/>
      </w:pPr>
      <w:r>
        <w:t xml:space="preserve">Authorization Timeline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uthorization Timeline {.striped .hover}"/>
      </w:tblPr>
      <w:tblGrid>
        <w:gridCol w:w="3484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Class A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Class B + C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VDR/VER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 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mandatory for new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authorization package (Class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Nov–Dec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decision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bookmarkEnd w:id="46"/>
    <w:bookmarkStart w:id="47" w:name="X375cb839b722f48475da0b72b146f138924ddd4"/>
    <w:p>
      <w:pPr>
        <w:pStyle w:val="Heading2"/>
      </w:pPr>
      <w:r>
        <w:t xml:space="preserve">4.3 Authorizing Official Package Review Checklist</w:t>
      </w:r>
    </w:p>
    <w:p>
      <w:pPr>
        <w:pStyle w:val="FirstParagraph"/>
      </w:pPr>
      <w:r>
        <w:t xml:space="preserve">Before submission, the Authorizing Official (AO) reviews:</w:t>
      </w:r>
    </w:p>
    <w:p>
      <w:pPr>
        <w:numPr>
          <w:ilvl w:val="0"/>
          <w:numId w:val="1005"/>
        </w:numPr>
        <w:pStyle w:val="Compact"/>
      </w:pPr>
      <w:r>
        <w:t xml:space="preserve">☐ All 29 KSIs self-assessed as satisfied in current AR (zero open risks); 3PAO validation scheduled</w:t>
      </w:r>
    </w:p>
    <w:p>
      <w:pPr>
        <w:numPr>
          <w:ilvl w:val="0"/>
          <w:numId w:val="1005"/>
        </w:numPr>
        <w:pStyle w:val="Compact"/>
      </w:pPr>
      <w:r>
        <w:t xml:space="preserve">☐ POA&amp;M is empty or all items have approved milestones</w:t>
      </w:r>
    </w:p>
    <w:p>
      <w:pPr>
        <w:numPr>
          <w:ilvl w:val="0"/>
          <w:numId w:val="1005"/>
        </w:numPr>
        <w:pStyle w:val="Compact"/>
      </w:pPr>
      <w:r>
        <w:t xml:space="preserve">☐ BOD 26-04 VDR submission filed by December 7, 2026</w:t>
      </w:r>
    </w:p>
    <w:p>
      <w:pPr>
        <w:numPr>
          <w:ilvl w:val="0"/>
          <w:numId w:val="1005"/>
        </w:numPr>
        <w:pStyle w:val="Compact"/>
      </w:pPr>
      <w:r>
        <w:t xml:space="preserve">☐ Training effectiveness record dated within the last 12 months</w:t>
      </w:r>
    </w:p>
    <w:p>
      <w:pPr>
        <w:numPr>
          <w:ilvl w:val="0"/>
          <w:numId w:val="1005"/>
        </w:numPr>
        <w:pStyle w:val="Compact"/>
      </w:pPr>
      <w:r>
        <w:t xml:space="preserve">☐ SBOM generated within the last 90 days (Syft + Grype pipeline)</w:t>
      </w:r>
    </w:p>
    <w:p>
      <w:pPr>
        <w:numPr>
          <w:ilvl w:val="0"/>
          <w:numId w:val="1005"/>
        </w:numPr>
        <w:pStyle w:val="Compact"/>
      </w:pPr>
      <w:r>
        <w:t xml:space="preserve">☐ ConMon dashboard accessible in Sentinel (AU-6, SI-4 evidence)</w:t>
      </w:r>
    </w:p>
    <w:p>
      <w:pPr>
        <w:numPr>
          <w:ilvl w:val="0"/>
          <w:numId w:val="1005"/>
        </w:numPr>
        <w:pStyle w:val="Compact"/>
      </w:pPr>
      <w:r>
        <w:t xml:space="preserve">☐ Contingency plan tabletop conducted within the last 12 months (CP-3)</w:t>
      </w:r>
    </w:p>
    <w:p>
      <w:pPr>
        <w:numPr>
          <w:ilvl w:val="0"/>
          <w:numId w:val="1005"/>
        </w:numPr>
        <w:pStyle w:val="Compact"/>
      </w:pPr>
      <w:r>
        <w:t xml:space="preserve">☐ IR drill conducted within the last 6 months (IR-2)</w:t>
      </w:r>
    </w:p>
    <w:p>
      <w:pPr>
        <w:numPr>
          <w:ilvl w:val="0"/>
          <w:numId w:val="1005"/>
        </w:numPr>
        <w:pStyle w:val="Compact"/>
      </w:pPr>
      <w:r>
        <w:t xml:space="preserve">☐ PM-14 T&amp;T&amp;M plan current and signed by ISSM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bod-26-04-vdrver-submission-sr-11-sa-15"/>
    <w:p>
      <w:pPr>
        <w:pStyle w:val="Heading1"/>
      </w:pPr>
      <w:r>
        <w:t xml:space="preserve">5 BOD 26-04 VDR/VER Submission (SR-11, SA-15)</w:t>
      </w:r>
    </w:p>
    <w:bookmarkStart w:id="49" w:name="bod-26-04-overview"/>
    <w:p>
      <w:pPr>
        <w:pStyle w:val="Heading2"/>
      </w:pPr>
      <w:r>
        <w:t xml:space="preserve">5.1 BOD 26-04 Overview</w:t>
      </w:r>
    </w:p>
    <w:p>
      <w:pPr>
        <w:pStyle w:val="FirstParagraph"/>
      </w:pPr>
      <w:r>
        <w:t xml:space="preserve">Binding Operational Directive 26-04 requires all federal agencies 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Maintain an SBOM</w:t>
      </w:r>
      <w:r>
        <w:t xml:space="preserve"> </w:t>
      </w:r>
      <w:r>
        <w:t xml:space="preserve">for all software in production by December 7, 2026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a Vulnerability Disclosure Report (VDR)</w:t>
      </w:r>
      <w:r>
        <w:t xml:space="preserve"> </w:t>
      </w:r>
      <w:r>
        <w:t xml:space="preserve">for each SBOM component with known CVEs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a Vulnerability Exploitability Report (VER)</w:t>
      </w:r>
      <w:r>
        <w:t xml:space="preserve"> </w:t>
      </w:r>
      <w:r>
        <w:t xml:space="preserve">(OpenVEX) for each CVE above CVSS 7.0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Demonstrate continuous SBOM monitoring</w:t>
      </w:r>
      <w:r>
        <w:t xml:space="preserve"> </w:t>
      </w:r>
      <w:r>
        <w:t xml:space="preserve">via an automated pipeline</w:t>
      </w:r>
    </w:p>
    <w:p>
      <w:pPr>
        <w:pStyle w:val="FirstParagraph"/>
      </w:pPr>
      <w:r>
        <w:t xml:space="preserve">Part 15 of this series established the VDR/VER framework. This section</w:t>
      </w:r>
      <w:r>
        <w:t xml:space="preserve"> </w:t>
      </w:r>
      <w:r>
        <w:t xml:space="preserve">documents the submission procedure.</w:t>
      </w:r>
    </w:p>
    <w:bookmarkEnd w:id="49"/>
    <w:bookmarkStart w:id="52" w:name="sbom-artifact-chain"/>
    <w:p>
      <w:pPr>
        <w:pStyle w:val="Heading2"/>
      </w:pPr>
      <w:r>
        <w:t xml:space="preserve">5.2 SBOM Artifact Chain</w:t>
      </w:r>
    </w:p>
    <w:p>
      <w:pPr>
        <w:pStyle w:val="FirstParagraph"/>
      </w:pPr>
      <w:r>
        <w:t xml:space="preserve">The SBOM pipeline (from Part 15) produces a chain of machine-readable artifacts:</w:t>
      </w:r>
    </w:p>
    <w:p>
      <w:pPr>
        <w:pStyle w:val="SourceCode"/>
      </w:pPr>
      <w:r>
        <w:rPr>
          <w:rStyle w:val="VerbatimChar"/>
        </w:rPr>
        <w:t xml:space="preserve">1. Syft scan → CycloneDX 1.6 JSON (component inventory)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Grype scan → Vulnerability findings against NVD + CISA KEV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OpenVEX statements → VEX analysis (exploitability assessment)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VDR submission package → CISA VEX Portal or email submission</w:t>
      </w:r>
    </w:p>
    <w:bookmarkStart w:id="50" w:name="running-the-sbom-pipeline"/>
    <w:p>
      <w:pPr>
        <w:pStyle w:val="Heading3"/>
      </w:pPr>
      <w:r>
        <w:t xml:space="preserve">5.2.1 Running the SBOM Pipeline</w:t>
      </w:r>
    </w:p>
    <w:p>
      <w:pPr>
        <w:pStyle w:val="SourceCode"/>
      </w:pPr>
      <w:r>
        <w:rPr>
          <w:rStyle w:val="CommentTok"/>
        </w:rPr>
        <w:t xml:space="preserve"># Step 1: Generate SBOM (run against each production container/package)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cyclonedx-json=sbom-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2: Scan for vulnerabilities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sbom:sbom-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vuln-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3: Generate VEX statements for High/Critical CVEs</w:t>
      </w:r>
      <w:r>
        <w:br/>
      </w:r>
      <w:r>
        <w:rPr>
          <w:rStyle w:val="CommentTok"/>
        </w:rPr>
        <w:t xml:space="preserve"># For each CVE with CVSS &gt;= 7.0, create an OpenVEX statement:</w:t>
      </w:r>
      <w:r>
        <w:br/>
      </w:r>
      <w:r>
        <w:rPr>
          <w:rStyle w:val="ExtensionTok"/>
        </w:rPr>
        <w:t xml:space="preserve">vexctl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--author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Cloud Services Team"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"pkg:docker/ssa-gcc-moderate@1.0.0"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--vuln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"CVE-YYYY-NNNNN"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--justification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"component_not_present"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50"/>
    <w:bookmarkStart w:id="51" w:name="submission-to-cisa"/>
    <w:p>
      <w:pPr>
        <w:pStyle w:val="Heading3"/>
      </w:pPr>
      <w:r>
        <w:t xml:space="preserve">5.2.2 Submission to CISA</w:t>
      </w:r>
    </w:p>
    <w:p>
      <w:pPr>
        <w:pStyle w:val="FirstParagraph"/>
      </w:pPr>
      <w:r>
        <w:t xml:space="preserve">Per BOD 26-04, VDR/VER submissions go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: sbom@cisa.dhs.gov (VDR + VEX package as ZIP attachment)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 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[AGENCY] BOD-26-04 VDR Submission — [System Name] — [Date]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</w:t>
      </w:r>
      <w:r>
        <w:t xml:space="preserve">: CycloneDX 1.6 JSON for SBOM; OpenVEX JSON for VEX statements</w:t>
      </w:r>
    </w:p>
    <w:p>
      <w:pPr>
        <w:pStyle w:val="BodyText"/>
      </w:pPr>
      <w:r>
        <w:t xml:space="preserve">The Part 15</w:t>
      </w:r>
      <w:r>
        <w:t xml:space="preserve"> </w:t>
      </w:r>
      <w:r>
        <w:rPr>
          <w:rStyle w:val="VerbatimChar"/>
        </w:rPr>
        <w:t xml:space="preserve">vdr-submission-record.json</w:t>
      </w:r>
      <w:r>
        <w:t xml:space="preserve"> </w:t>
      </w:r>
      <w:r>
        <w:t xml:space="preserve">schema generates the cover document</w:t>
      </w:r>
      <w:r>
        <w:t xml:space="preserve"> </w:t>
      </w:r>
      <w:r>
        <w:t xml:space="preserve">automatically from the Syft/Grype pipeline output.</w:t>
      </w:r>
    </w:p>
    <w:bookmarkEnd w:id="51"/>
    <w:bookmarkEnd w:id="52"/>
    <w:bookmarkStart w:id="53" w:name="at-4-evidence-contract-submission"/>
    <w:p>
      <w:pPr>
        <w:pStyle w:val="Heading2"/>
      </w:pPr>
      <w:r>
        <w:t xml:space="preserve">5.3 AT-4 Evidence Contract Submission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(KSI-022 evidence) must be</w:t>
      </w:r>
      <w:r>
        <w:t xml:space="preserve"> </w:t>
      </w:r>
      <w:r>
        <w:t xml:space="preserve">current at time of ATO package submission:</w:t>
      </w:r>
    </w:p>
    <w:p>
      <w:pPr>
        <w:pStyle w:val="SourceCode"/>
      </w:pPr>
      <w:r>
        <w:rPr>
          <w:rStyle w:val="CommentTok"/>
        </w:rPr>
        <w:t xml:space="preserve"># Verify training record is current (exported from Viva Learning Graph API)</w:t>
      </w:r>
      <w:r>
        <w:br/>
      </w:r>
      <w:r>
        <w:rPr>
          <w:rStyle w:val="CommentTok"/>
        </w:rPr>
        <w:t xml:space="preserve"># Record must show: overall_completion_pct &gt;= 95.0, snapshot_date within 12 months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record = json.load(open('governance.training-effectiveness-record.json'))</w:t>
      </w:r>
      <w:r>
        <w:br/>
      </w:r>
      <w:r>
        <w:rPr>
          <w:rStyle w:val="StringTok"/>
        </w:rPr>
        <w:t xml:space="preserve">assert record['overall_completion_pct'] &gt;= 95.0, 'Training completion below threshold'</w:t>
      </w:r>
      <w:r>
        <w:br/>
      </w:r>
      <w:r>
        <w:rPr>
          <w:rStyle w:val="StringTok"/>
        </w:rPr>
        <w:t xml:space="preserve">assert all(</w:t>
      </w:r>
      <w:r>
        <w:br/>
      </w:r>
      <w:r>
        <w:rPr>
          <w:rStyle w:val="StringTok"/>
        </w:rPr>
        <w:t xml:space="preserve">    t['tier_completion_pct'] &gt;= 95.0 for t in record['role_tiers']</w:t>
      </w:r>
      <w:r>
        <w:br/>
      </w:r>
      <w:r>
        <w:rPr>
          <w:rStyle w:val="StringTok"/>
        </w:rPr>
        <w:t xml:space="preserve">), 'One or more role tiers below threshold'</w:t>
      </w:r>
      <w:r>
        <w:br/>
      </w:r>
      <w:r>
        <w:rPr>
          <w:rStyle w:val="StringTok"/>
        </w:rPr>
        <w:t xml:space="preserve">print('Training record: PASS')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2baad120c625cca5affb3af3072f4904f2c9188"/>
    <w:p>
      <w:pPr>
        <w:pStyle w:val="Heading1"/>
      </w:pPr>
      <w:r>
        <w:t xml:space="preserve">6 Post-Authorization ConMon Architecture (CA-7, SA-15)</w:t>
      </w:r>
    </w:p>
    <w:bookmarkStart w:id="55" w:name="conmon-data-flow"/>
    <w:p>
      <w:pPr>
        <w:pStyle w:val="Heading2"/>
      </w:pPr>
      <w:r>
        <w:t xml:space="preserve">6.1 ConMon Data Flow</w:t>
      </w:r>
    </w:p>
    <w:p>
      <w:pPr>
        <w:pStyle w:val="FirstParagraph"/>
      </w:pPr>
      <w:r>
        <w:t xml:space="preserve">After ATO is granted, the ConMon program feeds back into the UIAO governance</w:t>
      </w:r>
      <w:r>
        <w:t xml:space="preserve"> </w:t>
      </w:r>
      <w:r>
        <w:t xml:space="preserve">substrate on a recurring basis:</w:t>
      </w:r>
    </w:p>
    <w:p>
      <w:pPr>
        <w:pStyle w:val="SourceCode"/>
      </w:pPr>
      <w:r>
        <w:rPr>
          <w:rStyle w:val="VerbatimChar"/>
        </w:rPr>
        <w:t xml:space="preserve">[M365 ScuBA Assessment]</w:t>
      </w:r>
      <w:r>
        <w:br/>
      </w:r>
      <w:r>
        <w:rPr>
          <w:rStyle w:val="VerbatimChar"/>
        </w:rPr>
        <w:t xml:space="preserve">         ↓ monthly</w:t>
      </w:r>
      <w:r>
        <w:br/>
      </w:r>
      <w:r>
        <w:rPr>
          <w:rStyle w:val="VerbatimChar"/>
        </w:rPr>
        <w:t xml:space="preserve">[uiao adapter-run-scuba]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[UIAO Governance Substrate] ←—— [AAN Slot Evidence YAMLs]</w:t>
      </w:r>
      <w:r>
        <w:br/>
      </w:r>
      <w:r>
        <w:rPr>
          <w:rStyle w:val="VerbatimChar"/>
        </w:rPr>
        <w:t xml:space="preserve">         ↓                                   ↑</w:t>
      </w:r>
      <w:r>
        <w:br/>
      </w:r>
      <w:r>
        <w:rPr>
          <w:rStyle w:val="VerbatimChar"/>
        </w:rPr>
        <w:t xml:space="preserve">[uiao oscal bundle]            [Slot confidence upgrades</w:t>
      </w:r>
      <w:r>
        <w:br/>
      </w:r>
      <w:r>
        <w:rPr>
          <w:rStyle w:val="VerbatimChar"/>
        </w:rPr>
        <w:t xml:space="preserve">         ↓                      when new evidence artifacts</w:t>
      </w:r>
      <w:r>
        <w:br/>
      </w:r>
      <w:r>
        <w:rPr>
          <w:rStyle w:val="VerbatimChar"/>
        </w:rPr>
        <w:t xml:space="preserve">[ksi-ar.json]                   are produced or confidence</w:t>
      </w:r>
      <w:r>
        <w:br/>
      </w:r>
      <w:r>
        <w:rPr>
          <w:rStyle w:val="VerbatimChar"/>
        </w:rPr>
        <w:t xml:space="preserve">         ↓                      changes]</w:t>
      </w:r>
      <w:r>
        <w:br/>
      </w:r>
      <w:r>
        <w:rPr>
          <w:rStyle w:val="VerbatimChar"/>
        </w:rPr>
        <w:t xml:space="preserve">[POA&amp;M auto-populated]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[Sentinel ConMon Dashboard] ——→ [AO Monthly Brief]</w:t>
      </w:r>
    </w:p>
    <w:bookmarkEnd w:id="55"/>
    <w:bookmarkStart w:id="56" w:name="evidence-freshness-rules"/>
    <w:p>
      <w:pPr>
        <w:pStyle w:val="Heading2"/>
      </w:pPr>
      <w:r>
        <w:t xml:space="preserve">6.2 Evidence Freshness Rules</w:t>
      </w:r>
    </w:p>
    <w:p>
      <w:pPr>
        <w:pStyle w:val="FirstParagraph"/>
      </w:pPr>
      <w:r>
        <w:t xml:space="preserve">Each evidence slot has a freshness requirement. The ConMon program must ensure:</w:t>
      </w:r>
    </w:p>
    <w:p>
      <w:pPr>
        <w:pStyle w:val="TableCaption"/>
      </w:pPr>
      <w:r>
        <w:t xml:space="preserve">Evidence Freshness Requirements by Slot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Evidence Freshness Requirements by Slot {.striped .hover}"/>
      </w:tblPr>
      <w:tblGrid>
        <w:gridCol w:w="1320"/>
        <w:gridCol w:w="50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Conditional Access policies reviewed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DLP policy and CMK rotation reviewed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configuration baseline reviewed semi-annually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detection rules reviewed quarterly; log retention confirmed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 findings reviewed weekly; PAW review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regenerated monthly; VDR/VER current (BOD 26-04)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 tabletop annually; CP-4 test annually; CP-2 plan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slot-08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completion records exported monthly; overall 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Training</w:t>
            </w:r>
          </w:p>
        </w:tc>
      </w:tr>
    </w:tbl>
    <w:bookmarkEnd w:id="56"/>
    <w:bookmarkStart w:id="57" w:name="sentinel-conmon-dashboard"/>
    <w:p>
      <w:pPr>
        <w:pStyle w:val="Heading2"/>
      </w:pPr>
      <w:r>
        <w:t xml:space="preserve">6.3 Sentinel ConMon Dashboard</w:t>
      </w:r>
    </w:p>
    <w:p>
      <w:pPr>
        <w:pStyle w:val="FirstParagraph"/>
      </w:pPr>
      <w:r>
        <w:t xml:space="preserve">Part 13 established the Sentinel XDR platform as the operational ConMon</w:t>
      </w:r>
      <w:r>
        <w:t xml:space="preserve"> </w:t>
      </w:r>
      <w:r>
        <w:t xml:space="preserve">dashboard. The following workbooks are required for CA-7(3) trend analysis: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KSI Status Workbook</w:t>
      </w:r>
      <w:r>
        <w:t xml:space="preserve"> </w:t>
      </w:r>
      <w:r>
        <w:t xml:space="preserve">— maps each of the 29 KSIs to their current evidence</w:t>
      </w:r>
      <w:r>
        <w:t xml:space="preserve"> </w:t>
      </w:r>
      <w:r>
        <w:t xml:space="preserve">state (green/amber/red based on slot binding confidence and AR verdict)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Control Drift Workbook</w:t>
      </w:r>
      <w:r>
        <w:t xml:space="preserve"> </w:t>
      </w:r>
      <w:r>
        <w:t xml:space="preserve">— tracks changes in ScuBA findings (M365 config</w:t>
      </w:r>
      <w:r>
        <w:t xml:space="preserve"> </w:t>
      </w:r>
      <w:r>
        <w:t xml:space="preserve">drift that could affect KSI-001..010 verdicts)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Vulnerability Backlog Workbook</w:t>
      </w:r>
      <w:r>
        <w:t xml:space="preserve"> </w:t>
      </w:r>
      <w:r>
        <w:t xml:space="preserve">— RA-5 KEV hits, CVSS scores, BOD 26-04</w:t>
      </w:r>
      <w:r>
        <w:t xml:space="preserve"> </w:t>
      </w:r>
      <w:r>
        <w:t xml:space="preserve">status per component in the SBOM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Training Coverage Workbook</w:t>
      </w:r>
      <w:r>
        <w:t xml:space="preserve"> </w:t>
      </w:r>
      <w:r>
        <w:t xml:space="preserve">— AT-4 completion rate trend by role tier</w:t>
      </w:r>
    </w:p>
    <w:bookmarkEnd w:id="57"/>
    <w:bookmarkStart w:id="58" w:name="roles-and-responsibilities-ca-71"/>
    <w:p>
      <w:pPr>
        <w:pStyle w:val="Heading2"/>
      </w:pPr>
      <w:r>
        <w:t xml:space="preserve">6.4 Roles and Responsibilities (CA-7(1))</w:t>
      </w:r>
    </w:p>
    <w:p>
      <w:pPr>
        <w:pStyle w:val="TableCaption"/>
      </w:pPr>
      <w:r>
        <w:t xml:space="preserve">ConMon RACI — Key Roles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Mon RACI — Key Roles {.striped .hover}"/>
      </w:tblPr>
      <w:tblGrid>
        <w:gridCol w:w="176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Authorizing Official (AO)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monthly AR; accepts or escalates open risks; approves ATO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; reviews Sentinel dashboard; owns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Chairs quarterly KSI review; escalates trend anomalies to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Sentinel workbooks; conducts IR drills; owns detection rule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 /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SBOM pipeline; files VDR/VER; owns BOD 26-04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/ Training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monthly LMS records; ensures overall_completion_pct ≥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risk-assessment-integration-ra-3"/>
    <w:p>
      <w:pPr>
        <w:pStyle w:val="Heading1"/>
      </w:pPr>
      <w:r>
        <w:t xml:space="preserve">7 Risk Assessment Integration (RA-3)</w:t>
      </w:r>
    </w:p>
    <w:bookmarkStart w:id="60" w:name="risk-register-structure"/>
    <w:p>
      <w:pPr>
        <w:pStyle w:val="Heading2"/>
      </w:pPr>
      <w:r>
        <w:t xml:space="preserve">7.1 Risk Register Structure</w:t>
      </w:r>
    </w:p>
    <w:p>
      <w:pPr>
        <w:pStyle w:val="FirstParagraph"/>
      </w:pPr>
      <w:r>
        <w:t xml:space="preserve">The OSCAL AR’s risk entries feed directly into the organizational risk register</w:t>
      </w:r>
      <w:r>
        <w:t xml:space="preserve"> </w:t>
      </w:r>
      <w:r>
        <w:t xml:space="preserve">(PM-9, established in Part 16). The risk structure follows OSCAL 1.0.4: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OSCAL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item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closed /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risk.characterizations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CVSS-derived severity; KSI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risk.mitigating-factors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Compensating controls from AAN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risk.remediation-tracking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26-04 milestones or training milestones</w:t>
            </w:r>
          </w:p>
        </w:tc>
      </w:tr>
    </w:tbl>
    <w:p>
      <w:pPr>
        <w:pStyle w:val="BodyText"/>
      </w:pPr>
      <w:r>
        <w:t xml:space="preserve">When the AR contains zero open risks (current state), the risk register entry</w:t>
      </w:r>
      <w:r>
        <w:t xml:space="preserve"> </w:t>
      </w:r>
      <w:r>
        <w:t xml:space="preserve">for KSI controls reads:</w:t>
      </w:r>
      <w:r>
        <w:t xml:space="preserve"> </w:t>
      </w:r>
      <w:r>
        <w:t xml:space="preserve">“</w:t>
      </w:r>
      <w:r>
        <w:t xml:space="preserve">All 29 KSI controls satisfied — no residual risk</w:t>
      </w:r>
      <w:r>
        <w:t xml:space="preserve"> </w:t>
      </w:r>
      <w:r>
        <w:t xml:space="preserve">from the KSI evaluation.</w:t>
      </w:r>
      <w:r>
        <w:t xml:space="preserve">”</w:t>
      </w:r>
      <w:r>
        <w:t xml:space="preserve"> </w:t>
      </w:r>
      <w:r>
        <w:t xml:space="preserve">This does not eliminate enterprise risk; it</w:t>
      </w:r>
      <w:r>
        <w:t xml:space="preserve"> </w:t>
      </w:r>
      <w:r>
        <w:t xml:space="preserve">eliminates KSI-specific compliance risk.</w:t>
      </w:r>
    </w:p>
    <w:bookmarkEnd w:id="60"/>
    <w:bookmarkStart w:id="61" w:name="X8d10a249fbdba0d990b4e3f6ae9964964ca46d1"/>
    <w:p>
      <w:pPr>
        <w:pStyle w:val="Heading2"/>
      </w:pPr>
      <w:r>
        <w:t xml:space="preserve">7.2 Residual Risks Not Covered by KSI Evaluation</w:t>
      </w:r>
    </w:p>
    <w:p>
      <w:pPr>
        <w:pStyle w:val="FirstParagraph"/>
      </w:pPr>
      <w:r>
        <w:t xml:space="preserve">The KSI evaluation covers FedRAMP 20x Consolidated Rules. The following</w:t>
      </w:r>
      <w:r>
        <w:t xml:space="preserve"> </w:t>
      </w:r>
      <w:r>
        <w:t xml:space="preserve">risk categories are outside KSI scope and must be managed separately: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Mission risk</w:t>
      </w:r>
      <w:r>
        <w:t xml:space="preserve"> </w:t>
      </w:r>
      <w:r>
        <w:t xml:space="preserve">— impact to SSA service delivery from system failure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Insider threat</w:t>
      </w:r>
      <w:r>
        <w:t xml:space="preserve"> </w:t>
      </w:r>
      <w:r>
        <w:t xml:space="preserve">— behavioral analytics (KSI-001..010 cover technical</w:t>
      </w:r>
      <w:r>
        <w:t xml:space="preserve"> </w:t>
      </w:r>
      <w:r>
        <w:t xml:space="preserve">controls; insider threat requires HR and behavioral monitoring programs)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Physical security</w:t>
      </w:r>
      <w:r>
        <w:t xml:space="preserve"> </w:t>
      </w:r>
      <w:r>
        <w:t xml:space="preserve">— AC-18/19, PE family (not in scope for cloud boundary)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Supply chain geopolitical risk</w:t>
      </w:r>
      <w:r>
        <w:t xml:space="preserve"> </w:t>
      </w:r>
      <w:r>
        <w:t xml:space="preserve">— beyond BOD 26-04 SBOM/VDR/VER scope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authorization-package-assembly-checklist"/>
    <w:p>
      <w:pPr>
        <w:pStyle w:val="Heading1"/>
      </w:pPr>
      <w:r>
        <w:t xml:space="preserve">8 Authorization Package Assembly Checklist</w:t>
      </w:r>
    </w:p>
    <w:p>
      <w:pPr>
        <w:pStyle w:val="FirstParagraph"/>
      </w:pPr>
      <w:r>
        <w:t xml:space="preserve">The following checklist operationalizes the authorization package assembly.</w:t>
      </w:r>
      <w:r>
        <w:t xml:space="preserve"> </w:t>
      </w:r>
      <w:r>
        <w:t xml:space="preserve">Complete in order before the November 2026 submission window.</w:t>
      </w:r>
    </w:p>
    <w:bookmarkStart w:id="63" w:name="pre-submission-checklist"/>
    <w:p>
      <w:pPr>
        <w:pStyle w:val="Heading2"/>
      </w:pPr>
      <w:r>
        <w:t xml:space="preserve">8.1 Pre-Submission Checklist</w:t>
      </w:r>
    </w:p>
    <w:p>
      <w:pPr>
        <w:pStyle w:val="FirstParagraph"/>
      </w:pPr>
      <w:r>
        <w:rPr>
          <w:bCs/>
          <w:b/>
        </w:rPr>
        <w:t xml:space="preserve">OSCAL Bundle (CA-2, CA-5):</w:t>
      </w:r>
    </w:p>
    <w:p>
      <w:pPr>
        <w:numPr>
          <w:ilvl w:val="0"/>
          <w:numId w:val="1009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uiao oscal bundle --system-name "SSA GCC Moderate"</w:t>
      </w:r>
      <w:r>
        <w:t xml:space="preserve"> </w:t>
      </w:r>
      <w:r>
        <w:t xml:space="preserve">and confirm 29/29 satisfied</w:t>
      </w:r>
    </w:p>
    <w:p>
      <w:pPr>
        <w:numPr>
          <w:ilvl w:val="0"/>
          <w:numId w:val="1009"/>
        </w:numPr>
        <w:pStyle w:val="Compact"/>
      </w:pPr>
      <w:r>
        <w:t xml:space="preserve">☐ Confirm POA&amp;M has zero open items</w:t>
      </w:r>
    </w:p>
    <w:p>
      <w:pPr>
        <w:numPr>
          <w:ilvl w:val="0"/>
          <w:numId w:val="1009"/>
        </w:numPr>
        <w:pStyle w:val="Compact"/>
      </w:pPr>
      <w:r>
        <w:t xml:space="preserve">☐ Archive bundle with timestamp to</w:t>
      </w:r>
      <w:r>
        <w:t xml:space="preserve"> </w:t>
      </w:r>
      <w:r>
        <w:rPr>
          <w:rStyle w:val="VerbatimChar"/>
        </w:rPr>
        <w:t xml:space="preserve">output/artifacts/ksi-bundle/history/YYYYMM/</w:t>
      </w:r>
    </w:p>
    <w:p>
      <w:pPr>
        <w:numPr>
          <w:ilvl w:val="0"/>
          <w:numId w:val="1009"/>
        </w:numPr>
        <w:pStyle w:val="Compact"/>
      </w:pPr>
      <w:r>
        <w:t xml:space="preserve">☐ Submit bundle (AP + AR + POA&amp;M) to FedRAMP PMO via secure portal</w:t>
      </w:r>
    </w:p>
    <w:p>
      <w:pPr>
        <w:pStyle w:val="FirstParagraph"/>
      </w:pPr>
      <w:r>
        <w:rPr>
          <w:bCs/>
          <w:b/>
        </w:rPr>
        <w:t xml:space="preserve">Evidence Books (CA-2):</w:t>
      </w:r>
    </w:p>
    <w:p>
      <w:pPr>
        <w:numPr>
          <w:ilvl w:val="0"/>
          <w:numId w:val="1010"/>
        </w:numPr>
        <w:pStyle w:val="Compact"/>
      </w:pPr>
      <w:r>
        <w:t xml:space="preserve">☐ Confirm all 19 books compiled and available in</w:t>
      </w:r>
      <w:r>
        <w:t xml:space="preserve"> </w:t>
      </w:r>
      <w:r>
        <w:rPr>
          <w:rStyle w:val="VerbatimChar"/>
        </w:rPr>
        <w:t xml:space="preserve">inbox/Application Aware Networking/</w:t>
      </w:r>
    </w:p>
    <w:p>
      <w:pPr>
        <w:numPr>
          <w:ilvl w:val="0"/>
          <w:numId w:val="1010"/>
        </w:numPr>
        <w:pStyle w:val="Compact"/>
      </w:pPr>
      <w:r>
        <w:t xml:space="preserve">☐ Upload updated books to agency document management system</w:t>
      </w:r>
    </w:p>
    <w:p>
      <w:pPr>
        <w:numPr>
          <w:ilvl w:val="0"/>
          <w:numId w:val="1010"/>
        </w:numPr>
        <w:pStyle w:val="Compact"/>
      </w:pPr>
      <w:r>
        <w:t xml:space="preserve">☐ Create cross-reference index: book → NIST controls → KSI IDs</w:t>
      </w:r>
    </w:p>
    <w:p>
      <w:pPr>
        <w:pStyle w:val="FirstParagraph"/>
      </w:pPr>
      <w:r>
        <w:rPr>
          <w:bCs/>
          <w:b/>
        </w:rPr>
        <w:t xml:space="preserve">BOD 26-04 (SR-11):</w:t>
      </w:r>
    </w:p>
    <w:p>
      <w:pPr>
        <w:numPr>
          <w:ilvl w:val="0"/>
          <w:numId w:val="1011"/>
        </w:numPr>
        <w:pStyle w:val="Compact"/>
      </w:pPr>
      <w:r>
        <w:t xml:space="preserve">☐ Run SBOM pipeline: Syft scan → CycloneDX 1.6 JSON</w:t>
      </w:r>
    </w:p>
    <w:p>
      <w:pPr>
        <w:numPr>
          <w:ilvl w:val="0"/>
          <w:numId w:val="1011"/>
        </w:numPr>
        <w:pStyle w:val="Compact"/>
      </w:pPr>
      <w:r>
        <w:t xml:space="preserve">☐ Run Grype: vulnerability scan → VDR artifact</w:t>
      </w:r>
    </w:p>
    <w:p>
      <w:pPr>
        <w:numPr>
          <w:ilvl w:val="0"/>
          <w:numId w:val="1011"/>
        </w:numPr>
        <w:pStyle w:val="Compact"/>
      </w:pPr>
      <w:r>
        <w:t xml:space="preserve">☐ Draft VEX statements for all CVEs CVSS ≥ 7.0</w:t>
      </w:r>
    </w:p>
    <w:p>
      <w:pPr>
        <w:numPr>
          <w:ilvl w:val="0"/>
          <w:numId w:val="1011"/>
        </w:numPr>
        <w:pStyle w:val="Compact"/>
      </w:pPr>
      <w:r>
        <w:t xml:space="preserve">☐ Submit VDR/VER to CISA by</w:t>
      </w:r>
      <w:r>
        <w:t xml:space="preserve"> </w:t>
      </w:r>
      <w:r>
        <w:rPr>
          <w:bCs/>
          <w:b/>
        </w:rPr>
        <w:t xml:space="preserve">December 7, 2026</w:t>
      </w:r>
    </w:p>
    <w:p>
      <w:pPr>
        <w:numPr>
          <w:ilvl w:val="0"/>
          <w:numId w:val="1011"/>
        </w:numPr>
        <w:pStyle w:val="Compact"/>
      </w:pPr>
      <w:r>
        <w:t xml:space="preserve">☐ Retain submission confirmation as</w:t>
      </w:r>
      <w:r>
        <w:t xml:space="preserve"> </w:t>
      </w:r>
      <w:r>
        <w:rPr>
          <w:rStyle w:val="VerbatimChar"/>
        </w:rPr>
        <w:t xml:space="preserve">vdr-submission-record.json</w:t>
      </w:r>
    </w:p>
    <w:p>
      <w:pPr>
        <w:pStyle w:val="FirstParagraph"/>
      </w:pPr>
      <w:r>
        <w:rPr>
          <w:bCs/>
          <w:b/>
        </w:rPr>
        <w:t xml:space="preserve">Training (AT-4, KSI-022):</w:t>
      </w:r>
    </w:p>
    <w:p>
      <w:pPr>
        <w:numPr>
          <w:ilvl w:val="0"/>
          <w:numId w:val="1012"/>
        </w:numPr>
        <w:pStyle w:val="Compact"/>
      </w:pPr>
      <w:r>
        <w:t xml:space="preserve">☐ Export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from Viva Learning</w:t>
      </w:r>
    </w:p>
    <w:p>
      <w:pPr>
        <w:numPr>
          <w:ilvl w:val="0"/>
          <w:numId w:val="101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overall_completion_pct &gt;= 95.0</w:t>
      </w:r>
    </w:p>
    <w:p>
      <w:pPr>
        <w:numPr>
          <w:ilvl w:val="0"/>
          <w:numId w:val="1012"/>
        </w:numPr>
        <w:pStyle w:val="Compact"/>
      </w:pPr>
      <w:r>
        <w:t xml:space="preserve">☐ Confirm all six</w:t>
      </w:r>
      <w:r>
        <w:t xml:space="preserve"> </w:t>
      </w:r>
      <w:r>
        <w:rPr>
          <w:rStyle w:val="VerbatimChar"/>
        </w:rPr>
        <w:t xml:space="preserve">role_tiers</w:t>
      </w:r>
      <w:r>
        <w:t xml:space="preserve"> </w:t>
      </w:r>
      <w:r>
        <w:t xml:space="preserve">present with</w:t>
      </w:r>
      <w:r>
        <w:t xml:space="preserve"> </w:t>
      </w:r>
      <w:r>
        <w:rPr>
          <w:rStyle w:val="VerbatimChar"/>
        </w:rPr>
        <w:t xml:space="preserve">tier_completion_pct &gt;= 95.0</w:t>
      </w:r>
    </w:p>
    <w:p>
      <w:pPr>
        <w:numPr>
          <w:ilvl w:val="0"/>
          <w:numId w:val="101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cp3_tabletop_date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ir2_drill_date</w:t>
      </w:r>
      <w:r>
        <w:t xml:space="preserve"> </w:t>
      </w:r>
      <w:r>
        <w:t xml:space="preserve">within 12 months</w:t>
      </w:r>
    </w:p>
    <w:p>
      <w:pPr>
        <w:pStyle w:val="FirstParagraph"/>
      </w:pPr>
      <w:r>
        <w:rPr>
          <w:bCs/>
          <w:b/>
        </w:rPr>
        <w:t xml:space="preserve">ConMon Program (CA-7):</w:t>
      </w:r>
    </w:p>
    <w:p>
      <w:pPr>
        <w:numPr>
          <w:ilvl w:val="0"/>
          <w:numId w:val="1013"/>
        </w:numPr>
        <w:pStyle w:val="Compact"/>
      </w:pPr>
      <w:r>
        <w:t xml:space="preserve">☐ Sentinel ConMon dashboard active and accessible</w:t>
      </w:r>
    </w:p>
    <w:p>
      <w:pPr>
        <w:numPr>
          <w:ilvl w:val="0"/>
          <w:numId w:val="1013"/>
        </w:numPr>
        <w:pStyle w:val="Compact"/>
      </w:pPr>
      <w:r>
        <w:t xml:space="preserve">☐ Monthly AR automation configured (Azure Logic App or scheduled task)</w:t>
      </w:r>
    </w:p>
    <w:p>
      <w:pPr>
        <w:numPr>
          <w:ilvl w:val="0"/>
          <w:numId w:val="1013"/>
        </w:numPr>
        <w:pStyle w:val="Compact"/>
      </w:pPr>
      <w:r>
        <w:t xml:space="preserve">☐ Quarterly KSI review cadence documented in PM-14 T&amp;T&amp;M plan</w:t>
      </w:r>
    </w:p>
    <w:p>
      <w:pPr>
        <w:numPr>
          <w:ilvl w:val="0"/>
          <w:numId w:val="1013"/>
        </w:numPr>
        <w:pStyle w:val="Compact"/>
      </w:pPr>
      <w:r>
        <w:t xml:space="preserve">☐ ISSO designated and documented in PM-2 leadership RACI</w:t>
      </w:r>
    </w:p>
    <w:bookmarkEnd w:id="63"/>
    <w:bookmarkStart w:id="64" w:name="day-of-submission-procedure"/>
    <w:p>
      <w:pPr>
        <w:pStyle w:val="Heading2"/>
      </w:pPr>
      <w:r>
        <w:t xml:space="preserve">8.2 Day-of-Submission Procedure</w:t>
      </w:r>
    </w:p>
    <w:p>
      <w:pPr>
        <w:pStyle w:val="SourceCode"/>
      </w:pPr>
      <w:r>
        <w:rPr>
          <w:rStyle w:val="CommentTok"/>
        </w:rPr>
        <w:t xml:space="preserve"># 1. Generate final OSCAL bundle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--ssp-href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"#&lt;ssp-uuid-from-uiao-generate-ssp&gt;"</w:t>
      </w:r>
      <w:r>
        <w:br/>
      </w:r>
      <w:r>
        <w:br/>
      </w:r>
      <w:r>
        <w:rPr>
          <w:rStyle w:val="CommentTok"/>
        </w:rPr>
        <w:t xml:space="preserve"># 2. Archive with date stamp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output/artifacts/ksi-bundle/history/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3. Validate bundle structure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name in ['ksi-ap.json', 'ksi-ar.json', 'ksi-poam.json']:</w:t>
      </w:r>
      <w:r>
        <w:br/>
      </w:r>
      <w:r>
        <w:rPr>
          <w:rStyle w:val="StringTok"/>
        </w:rPr>
        <w:t xml:space="preserve">    doc = json.load(open(f'output/artifacts/ksi-bundle/{name}'))</w:t>
      </w:r>
      <w:r>
        <w:br/>
      </w:r>
      <w:r>
        <w:rPr>
          <w:rStyle w:val="StringTok"/>
        </w:rPr>
        <w:t xml:space="preserve">    print(f'{name}: OK — {list(doc.keys())[0]}')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Package for submission (ZIP per FedRAMP PMO instructions)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ssa-gcc-moderate-fedramp20x-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inbox/Application\ Aware\ Networking/Book_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rols-closed-by-this-document"/>
    <w:p>
      <w:pPr>
        <w:pStyle w:val="Heading1"/>
      </w:pPr>
      <w:r>
        <w:t xml:space="preserve">9 Controls Closed by This Document</w:t>
      </w:r>
    </w:p>
    <w:p>
      <w:pPr>
        <w:pStyle w:val="TableCaption"/>
      </w:pPr>
      <w:r>
        <w:t xml:space="preserve">Controls Closed by Part 19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trols Closed by Part 19 {.striped .hover}"/>
      </w:tblPr>
      <w:tblGrid>
        <w:gridCol w:w="2036"/>
        <w:gridCol w:w="1584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AR (</w:t>
            </w:r>
            <w:r>
              <w:rPr>
                <w:rStyle w:val="VerbatimChar"/>
              </w:rPr>
              <w:t xml:space="preserve">ksi-ar.json</w:t>
            </w:r>
            <w:r>
              <w:t xml:space="preserve">) is the formal security assessment record for all 29 CR26 KSIs; generated by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on a monthly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POA&amp;M (</w:t>
            </w:r>
            <w:r>
              <w:rPr>
                <w:rStyle w:val="VerbatimChar"/>
              </w:rPr>
              <w:t xml:space="preserve">ksi-poam.json</w:t>
            </w:r>
            <w:r>
              <w:t xml:space="preserve">) is the formal POA&amp;M; auto-populated from AR findings; zero items in current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package structure documented in §4; submission checklist in §8; AO review roles in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→ Sentinel dashboard; quarterly KSI trend review; evidence freshness rules per slot in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PMO review of OSCAL AR constitutes the independent assessment; ScuBA assessment provides continuous independent M365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KSI Status Workbook; AR history archive in</w:t>
            </w:r>
            <w:r>
              <w:t xml:space="preserve"> </w:t>
            </w:r>
            <w:r>
              <w:rPr>
                <w:rStyle w:val="VerbatimChar"/>
              </w:rPr>
              <w:t xml:space="preserve">output/artifacts/ksi-bundle/history/</w:t>
            </w:r>
            <w:r>
              <w:t xml:space="preserve">; quarterly trend briefing to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AR risk entries feed PM-9 risk register; residual risk taxonomy in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Process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ADR-111 (slot evaluator), ADR-061 (AAN origin), ADR-093 (diagram pipeline) document the development process used to build the evidence pipeline;</w:t>
            </w:r>
            <w:r>
              <w:t xml:space="preserve"> </w:t>
            </w:r>
            <w:r>
              <w:rPr>
                <w:rStyle w:val="VerbatimChar"/>
              </w:rPr>
              <w:t xml:space="preserve">uiao</w:t>
            </w:r>
            <w:r>
              <w:t xml:space="preserve"> </w:t>
            </w:r>
            <w:r>
              <w:t xml:space="preserve">CI/CD (ruff, mypy, pytest 4768 tests) is the SA-15 toolchain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appendix-a-oscal-ar-findings-summary"/>
    <w:p>
      <w:pPr>
        <w:pStyle w:val="Heading1"/>
      </w:pPr>
      <w:r>
        <w:t xml:space="preserve">Appendix A — OSCAL AR Findings Summary</w:t>
      </w:r>
    </w:p>
    <w:p>
      <w:pPr>
        <w:pStyle w:val="FirstParagraph"/>
      </w:pPr>
      <w:r>
        <w:t xml:space="preserve">The following table summarizes the 29 KSI findings from the July 4, 2026 bundle</w:t>
      </w:r>
      <w:r>
        <w:t xml:space="preserve"> </w:t>
      </w:r>
      <w:r>
        <w:t xml:space="preserve">run (self-assessment). All 29 are evaluated as satisfied pending 3PAO validation.</w:t>
      </w:r>
    </w:p>
    <w:p>
      <w:pPr>
        <w:pStyle w:val="TableCaption"/>
      </w:pPr>
      <w:r>
        <w:t xml:space="preserve">KSI Findings Summary — July 4, 2026 Bundle Run {.striped .hover}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SI Findings Summary — July 4, 2026 Bundle Run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CR26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(M365-ACCT-001)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(M365-AUTH-002)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(M365-PRIV-003)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(M365-EXO-004)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(M365-EXO-005)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(M365-SPO-006)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KSI-SVC-SLP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(M365-ATP-007)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KSI-SVC-VCM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(M365-ATP-008)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(M365-CA-009)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(M365-DLP-010)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KSI-CMT-LMC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 (Part 15/16)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KSI-CMT-RMV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KSI-CMT-RVP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KSI-CMT-VTD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KSI-SCR-MIT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KSI-SCR-MON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KSI-PIY-GIV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KSI-CED-RAT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slot-08 high (Part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KSI-RPL-BCT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KSI-RPL-DRP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KSI-RPL-DRT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an internal UIAO working artifact. It does not constitute an</w:t>
      </w:r>
      <w:r>
        <w:rPr>
          <w:iCs/>
          <w:i/>
        </w:rPr>
        <w:t xml:space="preserve"> </w:t>
      </w:r>
      <w:r>
        <w:rPr>
          <w:iCs/>
          <w:i/>
        </w:rPr>
        <w:t xml:space="preserve">authorization package or official assessment. All control closure claims are</w:t>
      </w:r>
      <w:r>
        <w:rPr>
          <w:iCs/>
          <w:i/>
        </w:rPr>
        <w:t xml:space="preserve"> </w:t>
      </w:r>
      <w:r>
        <w:rPr>
          <w:iCs/>
          <w:i/>
        </w:rPr>
        <w:t xml:space="preserve">advisory pending formal ATO review by the FedRAMP Project Management Office and</w:t>
      </w:r>
      <w:r>
        <w:rPr>
          <w:iCs/>
          <w:i/>
        </w:rPr>
        <w:t xml:space="preserve"> </w:t>
      </w:r>
      <w:r>
        <w:rPr>
          <w:iCs/>
          <w:i/>
        </w:rPr>
        <w:t xml:space="preserve">the Agency Authorizing Official.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19 — Federal Application-Aware Networking — Part 19</dc:title>
  <dc:creator>SSA Cloud Services Team</dc:creator>
  <cp:keywords/>
  <dcterms:created xsi:type="dcterms:W3CDTF">2026-07-06T11:45:21Z</dcterms:created>
  <dcterms:modified xsi:type="dcterms:W3CDTF">2026-07-06T11:45:21Z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— NOT FOR PUBLIC DISTRIBUTION</vt:lpwstr>
  </property>
  <property fmtid="{D5CDD505-2E9C-101B-9397-08002B2CF9AE}" pid="3" name="date">
    <vt:lpwstr>July 4, 2026</vt:lpwstr>
  </property>
  <property fmtid="{D5CDD505-2E9C-101B-9397-08002B2CF9AE}" pid="4" name="format">
    <vt:lpwstr/>
  </property>
  <property fmtid="{D5CDD505-2E9C-101B-9397-08002B2CF9AE}" pid="5" name="subtitle">
    <vt:lpwstr>FedRAMP 20x Authorization Package, Continuous Monitoring, and BOD 26-04 Submission</vt:lpwstr>
  </property>
</Properties>
</file>