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Authorization Boundary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Generated:</w:t>
      </w:r>
      <w:r>
        <w:rPr>
          <w:rFonts w:ascii="Calibri" w:hAnsi="Calibri"/>
          <w:sz w:val="22"/>
        </w:rPr>
        <w:t xml:space="preserve"> Auto-generated</w:t>
      </w:r>
    </w:p>
    <w:p>
      <w:pPr>
        <w:pStyle w:val="Heading2"/>
      </w:pPr>
      <w:r>
        <w:rPr>
          <w:color w:val="1B3A5C"/>
        </w:rPr>
        <w:t>2. Network Architecture</w:t>
      </w:r>
    </w:p>
    <w:p>
      <w:pPr>
        <w:pStyle w:val="Heading3"/>
      </w:pPr>
      <w:r>
        <w:rPr>
          <w:color w:val="1B3A5C"/>
        </w:rPr>
        <w:t>2.1 High-Level Architecture</w:t>
      </w:r>
    </w:p>
    <w:p>
      <w:pPr>
        <w:pStyle w:val="Heading3"/>
      </w:pPr>
      <w:r>
        <w:rPr>
          <w:color w:val="1B3A5C"/>
        </w:rPr>
        <w:t>2.2 Network Segmentation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UIAO network is segmented into the following zones: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Zone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Controls Applied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External / Untrusted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Internet-facing; no direct system access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CDN, WAF, NGFW filtering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DMZ / Perimeter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Gateway and proxy services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TLS termination, API gateway, WAF rules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Identity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IdP and PAM services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Zero Trust Policy Engine, Entra ID CA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Network Fabric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SD-WAN overlay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mTLS encryption, micro-segmentation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Data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Backend services and data stores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Encryption at rest, RBAC, audit logging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Telemetry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SIEM and monitoring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Immutable log storage, restricted write access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Management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Orchestration and policy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Break-glass procedures, session recording</w:t>
            </w:r>
          </w:p>
        </w:tc>
      </w:tr>
    </w:tbl>
    <w:p>
      <w:pPr>
        <w:pStyle w:val="Heading2"/>
      </w:pPr>
      <w:r>
        <w:rPr>
          <w:color w:val="1B3A5C"/>
        </w:rPr>
        <w:t>4. Internal Components</w:t>
      </w:r>
    </w:p>
    <w:p>
      <w:pPr>
        <w:pStyle w:val="Heading3"/>
      </w:pPr>
      <w:r>
        <w:rPr>
          <w:color w:val="1B3A5C"/>
        </w:rPr>
        <w:t>4.1 Component Summary by Plane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#### Identity Plane Components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Microsoft Entra ID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Primary Identity Provider and SSO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ICAM Platform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Identity governance, credentialing, access reviews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CyberArk PAM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Privileged access management and session recording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Network Plane Components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Cisco Catalyst SD-WAN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Encrypted overlay fabric and mTLS transport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UIAO Gateway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API gateway and load balancer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Next-Gen Firewall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Perimeter filtering and stateful inspection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Addressing Plane Components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InfoBlox IPAM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Authoritative IP address management and DNS/DHCP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DNS Security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Threat defense and DNSSEC enforcement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Telemetry Plane Components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Microsoft Sentinel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SIEM / SOAR platform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CDM/CLAW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Continuous Diagnostics and Mitigation asset visibility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Centralized log aggregation and retention</w:t>
            </w:r>
          </w:p>
        </w:tc>
      </w:tr>
    </w:tbl>
    <w:p>
      <w:pPr>
        <w:pStyle w:val="Heading2"/>
      </w:pPr>
      <w:r>
        <w:rPr>
          <w:color w:val="1B3A5C"/>
        </w:rPr>
        <w:t>6. Ports, Protocols, and Services</w:t>
      </w:r>
    </w:p>
    <w:p>
      <w:pPr>
        <w:pStyle w:val="Heading3"/>
      </w:pPr>
      <w:r>
        <w:rPr>
          <w:color w:val="1B3A5C"/>
        </w:rPr>
        <w:t>6.1 Allowed Inbound Ports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Port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Protocol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Service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Source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Justification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UIAO Gateway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All agency users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Application access (TLS 1.3 required)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Entra ID federation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Microsoft 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SSO and SAML assertion delivery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UDP / DNS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InfoBlox DNS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Internal clients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Name resolution (DNSSEC enforced)</w:t>
            </w:r>
          </w:p>
        </w:tc>
      </w:tr>
    </w:tbl>
    <w:p>
      <w:pPr>
        <w:pStyle w:val="Heading3"/>
      </w:pPr>
      <w:r>
        <w:rPr>
          <w:color w:val="1B3A5C"/>
        </w:rPr>
        <w:t>6.2 Allowed Outbound Ports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Port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Protocol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Service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Destination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Justification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Microsoft Sentinel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Azure GovCloud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Log ingestion and SIEM telemetry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InfoBlox BloxOne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InfoBlox 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IPAM data synchronization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Cisco vManage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Cisco 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SD-WAN control plane management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CDM/CLAW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DHS CDM SaaS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Asset visibility and reporting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500 / 4500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UDP / IKEv2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SD-WAN IPSec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Branch / WAN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Encrypted WAN tunnels</w:t>
            </w:r>
          </w:p>
        </w:tc>
      </w:tr>
    </w:tbl>
    <w:p>
      <w:pPr>
        <w:pStyle w:val="Heading3"/>
      </w:pPr>
      <w:r>
        <w:rPr>
          <w:color w:val="1B3A5C"/>
        </w:rPr>
        <w:t>6.3 Blocked / Denied Traffic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All traffic not explicitly permitted by the above allowlists is denied at the perimeter firewall and UIAO Gateway. Denied traffic events are logged to Microsoft Sentinel for analysis.</w:t>
      </w: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by the UIAO-Core Pipeline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