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00</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Series</w:t>
      </w:r>
    </w:p>
    <w:p>
      <w:pPr>
        <w:pStyle w:val="Subtitle"/>
      </w:pPr>
      <w:r>
        <w:t xml:space="preserve">Executive</w:t>
      </w:r>
      <w:r>
        <w:t xml:space="preserve"> </w:t>
      </w:r>
      <w:r>
        <w:t xml:space="preserve">Summary</w:t>
      </w:r>
      <w:r>
        <w:t xml:space="preserve"> </w:t>
      </w:r>
      <w:r>
        <w:t xml:space="preserve">—</w:t>
      </w:r>
      <w:r>
        <w:t xml:space="preserve"> </w:t>
      </w:r>
      <w:r>
        <w:t xml:space="preserve">NIST</w:t>
      </w:r>
      <w:r>
        <w:t xml:space="preserve"> </w:t>
      </w:r>
      <w:r>
        <w:t xml:space="preserve">SP</w:t>
      </w:r>
      <w:r>
        <w:t xml:space="preserve"> </w:t>
      </w:r>
      <w:r>
        <w:t xml:space="preserve">800-53</w:t>
      </w:r>
      <w:r>
        <w:t xml:space="preserve"> </w:t>
      </w:r>
      <w:r>
        <w:t xml:space="preserve">Rev</w:t>
      </w:r>
      <w:r>
        <w:t xml:space="preserve"> </w:t>
      </w:r>
      <w:r>
        <w:t xml:space="preserve">5</w:t>
      </w:r>
      <w:r>
        <w:t xml:space="preserve"> </w:t>
      </w:r>
      <w:r>
        <w:t xml:space="preserve">Control</w:t>
      </w:r>
      <w:r>
        <w:t xml:space="preserve"> </w:t>
      </w:r>
      <w:r>
        <w:t xml:space="preserve">Closure</w:t>
      </w:r>
      <w:r>
        <w:t xml:space="preserve"> </w:t>
      </w:r>
      <w:r>
        <w:t xml:space="preserve">Across</w:t>
      </w:r>
      <w:r>
        <w:t xml:space="preserve"> </w:t>
      </w:r>
      <w:r>
        <w:t xml:space="preserve">Nineteen</w:t>
      </w:r>
      <w:r>
        <w:t xml:space="preserve"> </w:t>
      </w:r>
      <w:r>
        <w:t xml:space="preserve">Parts</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1,</w:t>
      </w:r>
      <w:r>
        <w:t xml:space="preserve"> </w:t>
      </w:r>
      <w:r>
        <w:t xml:space="preserve">2026</w:t>
      </w:r>
    </w:p>
    <w:p>
      <w:pPr>
        <w:pStyle w:val="FirstParagraph"/>
      </w:pPr>
      <w:r>
        <w:t xml:space="preserve">INTERNAL — NOT FOR PUBLIC DISTRIBUTION</w:t>
      </w:r>
    </w:p>
    <w:p>
      <w:pPr>
        <w:pStyle w:val="BodyText"/>
      </w:pPr>
      <w:r>
        <w:rPr>
          <w:bCs/>
          <w:b/>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Cs/>
          <w:b/>
        </w:rPr>
        <w:t xml:space="preserve">Books 01–04 — Substrate</w:t>
      </w:r>
      <w:r>
        <w:t xml:space="preserve"> </w:t>
      </w:r>
      <w:r>
        <w:t xml:space="preserve">(naming, identity, and trust foundations):</w:t>
      </w:r>
    </w:p>
    <w:p>
      <w:pPr>
        <w:numPr>
          <w:ilvl w:val="0"/>
          <w:numId w:val="1001"/>
        </w:numPr>
        <w:pStyle w:val="Compact"/>
      </w:pPr>
      <w:r>
        <w:rPr>
          <w:bCs/>
          <w:b/>
        </w:rPr>
        <w:t xml:space="preserve">Book 01</w:t>
      </w:r>
      <w:r>
        <w:t xml:space="preserve"> </w:t>
      </w:r>
      <w:r>
        <w:t xml:space="preserve">— DDI/IPAM naming-and-addressing plane — 16 NIST SP 800-53 Rev 5 controls</w:t>
      </w:r>
    </w:p>
    <w:p>
      <w:pPr>
        <w:numPr>
          <w:ilvl w:val="0"/>
          <w:numId w:val="1001"/>
        </w:numPr>
        <w:pStyle w:val="Compact"/>
      </w:pPr>
      <w:r>
        <w:rPr>
          <w:bCs/>
          <w:b/>
        </w:rPr>
        <w:t xml:space="preserve">Book 02</w:t>
      </w:r>
      <w:r>
        <w:t xml:space="preserve"> </w:t>
      </w:r>
      <w:r>
        <w:t xml:space="preserve">— Network Access Control (802.1X EAP-TLS, RADIUS, device identity at the port)</w:t>
      </w:r>
    </w:p>
    <w:p>
      <w:pPr>
        <w:numPr>
          <w:ilvl w:val="0"/>
          <w:numId w:val="1001"/>
        </w:numPr>
        <w:pStyle w:val="Compact"/>
      </w:pPr>
      <w:r>
        <w:rPr>
          <w:bCs/>
          <w:b/>
        </w:rPr>
        <w:t xml:space="preserve">Book 03</w:t>
      </w:r>
      <w:r>
        <w:t xml:space="preserve"> </w:t>
      </w:r>
      <w:r>
        <w:t xml:space="preserve">— Certificates &amp; Tokens — the cryptographic identity layer every session-less architecture depends on</w:t>
      </w:r>
    </w:p>
    <w:p>
      <w:pPr>
        <w:numPr>
          <w:ilvl w:val="0"/>
          <w:numId w:val="1001"/>
        </w:numPr>
        <w:pStyle w:val="Compact"/>
      </w:pPr>
      <w:r>
        <w:rPr>
          <w:bCs/>
          <w:b/>
        </w:rPr>
        <w:t xml:space="preserve">Book 04</w:t>
      </w:r>
      <w:r>
        <w:t xml:space="preserve"> </w:t>
      </w:r>
      <w:r>
        <w:t xml:space="preserve">— HRIT Identity &amp; Org SSOT — the HR system of record whose worker records underpin every token, account, and access decision</w:t>
      </w:r>
    </w:p>
    <w:p>
      <w:pPr>
        <w:pStyle w:val="FirstParagraph"/>
      </w:pPr>
      <w:r>
        <w:rPr>
          <w:bCs/>
          <w:b/>
        </w:rPr>
        <w:t xml:space="preserve">Books 05–09 — Modernization Tracks</w:t>
      </w:r>
      <w:r>
        <w:t xml:space="preserve"> </w:t>
      </w:r>
      <w:r>
        <w:t xml:space="preserve">— closing</w:t>
      </w:r>
      <w:r>
        <w:t xml:space="preserve"> </w:t>
      </w:r>
      <w:r>
        <w:rPr>
          <w:bCs/>
          <w:b/>
        </w:rPr>
        <w:t xml:space="preserve">34 distinct NIST SP 800-53 Rev 5 controls</w:t>
      </w:r>
      <w:r>
        <w:t xml:space="preserve"> </w:t>
      </w:r>
      <w:r>
        <w:t xml:space="preserve">across the original six tracks:</w:t>
      </w:r>
    </w:p>
    <w:p>
      <w:pPr>
        <w:numPr>
          <w:ilvl w:val="0"/>
          <w:numId w:val="1002"/>
        </w:numPr>
        <w:pStyle w:val="Compact"/>
      </w:pPr>
      <w:r>
        <w:rPr>
          <w:bCs/>
          <w:b/>
        </w:rPr>
        <w:t xml:space="preserve">Book 05</w:t>
      </w:r>
      <w:r>
        <w:t xml:space="preserve"> </w:t>
      </w:r>
      <w:r>
        <w:t xml:space="preserve">— Network and Identity Modernization (Entra ID, ZTNA, Active Governance)</w:t>
      </w:r>
    </w:p>
    <w:p>
      <w:pPr>
        <w:numPr>
          <w:ilvl w:val="0"/>
          <w:numId w:val="1002"/>
        </w:numPr>
        <w:pStyle w:val="Compact"/>
      </w:pPr>
      <w:r>
        <w:rPr>
          <w:bCs/>
          <w:b/>
        </w:rPr>
        <w:t xml:space="preserve">Book 06</w:t>
      </w:r>
      <w:r>
        <w:t xml:space="preserve"> </w:t>
      </w:r>
      <w:r>
        <w:t xml:space="preserve">— Federal Telecommunications Modernization (SD-WAN, SASE)</w:t>
      </w:r>
    </w:p>
    <w:p>
      <w:pPr>
        <w:numPr>
          <w:ilvl w:val="0"/>
          <w:numId w:val="1002"/>
        </w:numPr>
        <w:pStyle w:val="Compact"/>
      </w:pPr>
      <w:r>
        <w:rPr>
          <w:bCs/>
          <w:b/>
        </w:rPr>
        <w:t xml:space="preserve">Books 07–08</w:t>
      </w:r>
      <w:r>
        <w:t xml:space="preserve"> </w:t>
      </w:r>
      <w:r>
        <w:t xml:space="preserve">— SQL Server Authentication Modernization and Implementation Guide</w:t>
      </w:r>
    </w:p>
    <w:p>
      <w:pPr>
        <w:numPr>
          <w:ilvl w:val="0"/>
          <w:numId w:val="1002"/>
        </w:numPr>
        <w:pStyle w:val="Compact"/>
      </w:pPr>
      <w:r>
        <w:rPr>
          <w:bCs/>
          <w:b/>
        </w:rPr>
        <w:t xml:space="preserve">Book 09</w:t>
      </w:r>
      <w:r>
        <w:t xml:space="preserve"> </w:t>
      </w:r>
      <w:r>
        <w:t xml:space="preserve">— Database Consolidation and Network Physics</w:t>
      </w:r>
    </w:p>
    <w:p>
      <w:pPr>
        <w:pStyle w:val="FirstParagraph"/>
      </w:pPr>
      <w:r>
        <w:rPr>
          <w:bCs/>
          <w:b/>
        </w:rPr>
        <w:t xml:space="preserve">Books 10–14 — Security Operations</w:t>
      </w:r>
      <w:r>
        <w:t xml:space="preserve"> </w:t>
      </w:r>
      <w:r>
        <w:t xml:space="preserve">— approximately</w:t>
      </w:r>
      <w:r>
        <w:t xml:space="preserve"> </w:t>
      </w:r>
      <w:r>
        <w:rPr>
          <w:bCs/>
          <w:b/>
        </w:rPr>
        <w:t xml:space="preserve">55 additional controls</w:t>
      </w:r>
      <w:r>
        <w:t xml:space="preserve"> </w:t>
      </w:r>
      <w:r>
        <w:t xml:space="preserve">across the AC, RA, MP, SC, AU, SI, IR, and CP families:</w:t>
      </w:r>
    </w:p>
    <w:p>
      <w:pPr>
        <w:numPr>
          <w:ilvl w:val="0"/>
          <w:numId w:val="1003"/>
        </w:numPr>
        <w:pStyle w:val="Compact"/>
      </w:pPr>
      <w:r>
        <w:rPr>
          <w:bCs/>
          <w:b/>
        </w:rPr>
        <w:t xml:space="preserve">Book 10</w:t>
      </w:r>
      <w:r>
        <w:t xml:space="preserve"> </w:t>
      </w:r>
      <w:r>
        <w:t xml:space="preserve">— Privileged Access Management</w:t>
      </w:r>
    </w:p>
    <w:p>
      <w:pPr>
        <w:numPr>
          <w:ilvl w:val="0"/>
          <w:numId w:val="1003"/>
        </w:numPr>
        <w:pStyle w:val="Compact"/>
      </w:pPr>
      <w:r>
        <w:rPr>
          <w:bCs/>
          <w:b/>
        </w:rPr>
        <w:t xml:space="preserve">Book 11</w:t>
      </w:r>
      <w:r>
        <w:t xml:space="preserve"> </w:t>
      </w:r>
      <w:r>
        <w:t xml:space="preserve">— Vulnerability Management</w:t>
      </w:r>
    </w:p>
    <w:p>
      <w:pPr>
        <w:numPr>
          <w:ilvl w:val="0"/>
          <w:numId w:val="1003"/>
        </w:numPr>
        <w:pStyle w:val="Compact"/>
      </w:pPr>
      <w:r>
        <w:rPr>
          <w:bCs/>
          <w:b/>
        </w:rPr>
        <w:t xml:space="preserve">Book 12</w:t>
      </w:r>
      <w:r>
        <w:t xml:space="preserve"> </w:t>
      </w:r>
      <w:r>
        <w:t xml:space="preserve">— Data Protection and Purview</w:t>
      </w:r>
    </w:p>
    <w:p>
      <w:pPr>
        <w:numPr>
          <w:ilvl w:val="0"/>
          <w:numId w:val="1003"/>
        </w:numPr>
        <w:pStyle w:val="Compact"/>
      </w:pPr>
      <w:r>
        <w:rPr>
          <w:bCs/>
          <w:b/>
        </w:rPr>
        <w:t xml:space="preserve">Book 13</w:t>
      </w:r>
      <w:r>
        <w:t xml:space="preserve"> </w:t>
      </w:r>
      <w:r>
        <w:t xml:space="preserve">— SIEM/XDR Detection Engineering</w:t>
      </w:r>
    </w:p>
    <w:p>
      <w:pPr>
        <w:numPr>
          <w:ilvl w:val="0"/>
          <w:numId w:val="1003"/>
        </w:numPr>
        <w:pStyle w:val="Compact"/>
      </w:pPr>
      <w:r>
        <w:rPr>
          <w:bCs/>
          <w:b/>
        </w:rPr>
        <w:t xml:space="preserve">Book 14</w:t>
      </w:r>
      <w:r>
        <w:t xml:space="preserve"> </w:t>
      </w:r>
      <w:r>
        <w:t xml:space="preserve">— Business Continuity</w:t>
      </w:r>
    </w:p>
    <w:p>
      <w:pPr>
        <w:pStyle w:val="FirstParagraph"/>
      </w:pPr>
      <w:r>
        <w:rPr>
          <w:bCs/>
          <w:b/>
        </w:rPr>
        <w:t xml:space="preserve">Books 15–17 — Risk and Program Governance</w:t>
      </w:r>
      <w:r>
        <w:t xml:space="preserve"> </w:t>
      </w:r>
      <w:r>
        <w:t xml:space="preserve">(SR, PM, and PT control families):</w:t>
      </w:r>
    </w:p>
    <w:p>
      <w:pPr>
        <w:numPr>
          <w:ilvl w:val="0"/>
          <w:numId w:val="1004"/>
        </w:numPr>
        <w:pStyle w:val="Compact"/>
      </w:pPr>
      <w:r>
        <w:rPr>
          <w:bCs/>
          <w:b/>
        </w:rPr>
        <w:t xml:space="preserve">Book 15</w:t>
      </w:r>
      <w:r>
        <w:t xml:space="preserve"> </w:t>
      </w:r>
      <w:r>
        <w:t xml:space="preserve">— Supply Chain Risk Management (SBOM/VDR/VEX pipeline)</w:t>
      </w:r>
    </w:p>
    <w:p>
      <w:pPr>
        <w:numPr>
          <w:ilvl w:val="0"/>
          <w:numId w:val="1004"/>
        </w:numPr>
        <w:pStyle w:val="Compact"/>
      </w:pPr>
      <w:r>
        <w:rPr>
          <w:bCs/>
          <w:b/>
        </w:rPr>
        <w:t xml:space="preserve">Book 16</w:t>
      </w:r>
      <w:r>
        <w:t xml:space="preserve"> </w:t>
      </w:r>
      <w:r>
        <w:t xml:space="preserve">— Program Management and Governance (POA&amp;M/SCRM/ISPP)</w:t>
      </w:r>
    </w:p>
    <w:p>
      <w:pPr>
        <w:numPr>
          <w:ilvl w:val="0"/>
          <w:numId w:val="1004"/>
        </w:numPr>
        <w:pStyle w:val="Compact"/>
      </w:pPr>
      <w:r>
        <w:rPr>
          <w:bCs/>
          <w:b/>
        </w:rPr>
        <w:t xml:space="preserve">Book 17</w:t>
      </w:r>
      <w:r>
        <w:t xml:space="preserve"> </w:t>
      </w:r>
      <w:r>
        <w:t xml:space="preserve">— PII Processing and Transparency (PT family templates, Purview enforcement)</w:t>
      </w:r>
    </w:p>
    <w:p>
      <w:pPr>
        <w:pStyle w:val="FirstParagraph"/>
      </w:pPr>
      <w:r>
        <w:rPr>
          <w:bCs/>
          <w:b/>
        </w:rPr>
        <w:t xml:space="preserve">Book 18 — Training and Awareness</w:t>
      </w:r>
      <w:r>
        <w:t xml:space="preserve"> </w:t>
      </w:r>
      <w:r>
        <w:t xml:space="preserve">— AT family cybersecurity training program — activates KSI-022 (KSI-CED-RAT), making all 29 FedRAMP 20x CR26 KSIs evaluable at high confidence.</w:t>
      </w:r>
    </w:p>
    <w:p>
      <w:pPr>
        <w:pStyle w:val="BodyText"/>
      </w:pPr>
      <w:r>
        <w:rPr>
          <w:bCs/>
          <w:b/>
        </w:rPr>
        <w:t xml:space="preserve">Book 19 — Authorization Package and ConMon</w:t>
      </w:r>
      <w:r>
        <w:t xml:space="preserve"> </w:t>
      </w:r>
      <w:r>
        <w:t xml:space="preserve">— OSCAL AP+AR+POA&amp;M bundle (29/29 KSIs self-assessed, pending 3PAO validation), continuous monitoring program, and BOD 26-04 VDR/VER submission — closing CA-2, CA-5, CA-6, CA-7, RA-3, and SA-15.</w:t>
      </w:r>
    </w:p>
    <w:p>
      <w:pPr>
        <w:pStyle w:val="BodyText"/>
      </w:pPr>
      <w:r>
        <w:t xml:space="preserve">Together the series constitutes the complete evidence-generation and authorization layer required for FedRAMP 20x continuous monitoring authorization.</w:t>
      </w:r>
    </w:p>
    <w:p>
      <w:pPr>
        <w:pStyle w:val="BodyText"/>
      </w:pPr>
      <w:r>
        <w:t xml:space="preserve">Three technologies recur throughout the series as the</w:t>
      </w:r>
      <w:r>
        <w:t xml:space="preserve"> </w:t>
      </w:r>
      <w:r>
        <w:rPr>
          <w:bCs/>
          <w:b/>
        </w:rPr>
        <w:t xml:space="preserve">only</w:t>
      </w:r>
      <w:r>
        <w:t xml:space="preserve"> </w:t>
      </w:r>
      <w:r>
        <w:t xml:space="preserve">closure mechanisms for their control sets — not the preferred options among several:</w:t>
      </w:r>
      <w:r>
        <w:t xml:space="preserve"> </w:t>
      </w:r>
      <w:r>
        <w:rPr>
          <w:bCs/>
          <w:b/>
        </w:rPr>
        <w:t xml:space="preserve">IPAM/DDI</w:t>
      </w:r>
      <w:r>
        <w:t xml:space="preserve"> </w:t>
      </w:r>
      <w:r>
        <w:t xml:space="preserve">(the authoritative naming-and-addressing plane),</w:t>
      </w:r>
      <w:r>
        <w:t xml:space="preserve"> </w:t>
      </w:r>
      <w:r>
        <w:rPr>
          <w:bCs/>
          <w:b/>
        </w:rPr>
        <w:t xml:space="preserve">SD-WAN</w:t>
      </w:r>
      <w:r>
        <w:t xml:space="preserve"> </w:t>
      </w:r>
      <w:r>
        <w:t xml:space="preserve">(the encrypted, application-aware transport overlay), and</w:t>
      </w:r>
      <w:r>
        <w:t xml:space="preserve"> </w:t>
      </w:r>
      <w:r>
        <w:rPr>
          <w:bCs/>
          <w:b/>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Cs/>
          <w:b/>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Cs/>
          <w:b/>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Start w:id="23"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21" name="Picture"/>
            <a:graphic>
              <a:graphicData uri="http://schemas.openxmlformats.org/drawingml/2006/picture">
                <pic:pic>
                  <pic:nvPicPr>
                    <pic:cNvPr descr="figs/es-fig-01-series-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 {.striped .hover}</w:t>
      </w:r>
    </w:p>
    <w:tbl>
      <w:tblPr>
        <w:tblStyle w:val="Table"/>
        <w:tblW w:type="pct" w:w="5000"/>
        <w:tblLook w:firstRow="1" w:lastRow="0" w:firstColumn="0" w:lastColumn="0" w:noHBand="0" w:noVBand="0" w:val="0020"/>
        <w:jc w:val="start"/>
        <w:tblCaption w:val="Federal Application-Aware Networking Series — Books 00–19 {.striped .hover}"/>
      </w:tblPr>
      <w:tblGrid>
        <w:gridCol w:w="1159"/>
        <w:gridCol w:w="1931"/>
        <w:gridCol w:w="1545"/>
        <w:gridCol w:w="3283"/>
      </w:tblGrid>
      <w:tr>
        <w:trPr>
          <w:tblHeader w:val="true"/>
        </w:trPr>
        <w:tc>
          <w:tcPr/>
          <w:p>
            <w:pPr>
              <w:pStyle w:val="Compact"/>
              <w:jc w:val="left"/>
            </w:pPr>
            <w:r>
              <w:t xml:space="preserve">Part</w:t>
            </w:r>
          </w:p>
        </w:tc>
        <w:tc>
          <w:tcPr/>
          <w:p>
            <w:pPr>
              <w:pStyle w:val="Compact"/>
              <w:jc w:val="left"/>
            </w:pPr>
            <w:r>
              <w:t xml:space="preserve">Document</w:t>
            </w:r>
          </w:p>
        </w:tc>
        <w:tc>
          <w:tcPr/>
          <w:p>
            <w:pPr>
              <w:pStyle w:val="Compact"/>
              <w:jc w:val="left"/>
            </w:pPr>
            <w:r>
              <w:t xml:space="preserve">Domain</w:t>
            </w:r>
          </w:p>
        </w:tc>
        <w:tc>
          <w:tcPr/>
          <w:p>
            <w:pPr>
              <w:pStyle w:val="Compact"/>
              <w:jc w:val="left"/>
            </w:pPr>
            <w:r>
              <w:t xml:space="preserve">Core Technology</w:t>
            </w:r>
          </w:p>
        </w:tc>
      </w:tr>
      <w:tr>
        <w:tc>
          <w:tcPr/>
          <w:p>
            <w:pPr>
              <w:pStyle w:val="Compact"/>
              <w:jc w:val="left"/>
            </w:pPr>
            <w:r>
              <w:t xml:space="preserve">Part 1</w:t>
            </w:r>
          </w:p>
        </w:tc>
        <w:tc>
          <w:tcPr/>
          <w:p>
            <w:pPr>
              <w:pStyle w:val="Compact"/>
              <w:jc w:val="left"/>
            </w:pPr>
            <w:r>
              <w:t xml:space="preserve">Federal AAN — SSA Landing Zone IPAM / FedRAMP</w:t>
            </w:r>
          </w:p>
        </w:tc>
        <w:tc>
          <w:tcPr/>
          <w:p>
            <w:pPr>
              <w:pStyle w:val="Compact"/>
              <w:jc w:val="left"/>
            </w:pPr>
            <w:r>
              <w:t xml:space="preserve">DNS · DHCP · IPAM · PKI · Zero Trust</w:t>
            </w:r>
          </w:p>
        </w:tc>
        <w:tc>
          <w:tcPr/>
          <w:p>
            <w:pPr>
              <w:pStyle w:val="Compact"/>
              <w:jc w:val="left"/>
            </w:pPr>
            <w:r>
              <w:t xml:space="preserve">InfoBlox DDI</w:t>
            </w:r>
          </w:p>
        </w:tc>
      </w:tr>
      <w:tr>
        <w:tc>
          <w:tcPr/>
          <w:p>
            <w:pPr>
              <w:pStyle w:val="Compact"/>
              <w:jc w:val="left"/>
            </w:pPr>
            <w:r>
              <w:t xml:space="preserve">Part 2</w:t>
            </w:r>
          </w:p>
        </w:tc>
        <w:tc>
          <w:tcPr/>
          <w:p>
            <w:pPr>
              <w:pStyle w:val="Compact"/>
              <w:jc w:val="left"/>
            </w:pPr>
            <w:r>
              <w:t xml:space="preserve">Federal AAN — Network Access Control: 802.1X and Device Identity</w:t>
            </w:r>
          </w:p>
        </w:tc>
        <w:tc>
          <w:tcPr/>
          <w:p>
            <w:pPr>
              <w:pStyle w:val="Compact"/>
              <w:jc w:val="left"/>
            </w:pPr>
            <w:r>
              <w:t xml:space="preserve">802.1X EAP-TLS · RADIUS/CoA · DHCP fingerprinting · NAC policy tiers</w:t>
            </w:r>
          </w:p>
        </w:tc>
        <w:tc>
          <w:tcPr/>
          <w:p>
            <w:pPr>
              <w:pStyle w:val="Compact"/>
              <w:jc w:val="left"/>
            </w:pPr>
            <w:r>
              <w:t xml:space="preserve">802.1X + RADIUS + Intune SCEP</w:t>
            </w:r>
          </w:p>
        </w:tc>
      </w:tr>
      <w:tr>
        <w:tc>
          <w:tcPr/>
          <w:p>
            <w:pPr>
              <w:pStyle w:val="Compact"/>
              <w:jc w:val="left"/>
            </w:pPr>
            <w:r>
              <w:t xml:space="preserve">Part 3</w:t>
            </w:r>
          </w:p>
        </w:tc>
        <w:tc>
          <w:tcPr/>
          <w:p>
            <w:pPr>
              <w:pStyle w:val="Compact"/>
              <w:jc w:val="left"/>
            </w:pPr>
            <w:r>
              <w:t xml:space="preserve">Federal AAN — Certificates &amp; Tokens: Cryptographic Identity</w:t>
            </w:r>
          </w:p>
        </w:tc>
        <w:tc>
          <w:tcPr/>
          <w:p>
            <w:pPr>
              <w:pStyle w:val="Compact"/>
              <w:jc w:val="left"/>
            </w:pPr>
            <w:r>
              <w:t xml:space="preserve">PKI lifecycle · ACME automation · OAuth 2.0/OIDC · CBA · workload identity</w:t>
            </w:r>
          </w:p>
        </w:tc>
        <w:tc>
          <w:tcPr/>
          <w:p>
            <w:pPr>
              <w:pStyle w:val="Compact"/>
              <w:jc w:val="left"/>
            </w:pPr>
            <w:r>
              <w:t xml:space="preserve">Entra ID CBA + ACME + managed identity</w:t>
            </w:r>
          </w:p>
        </w:tc>
      </w:tr>
      <w:tr>
        <w:tc>
          <w:tcPr/>
          <w:p>
            <w:pPr>
              <w:pStyle w:val="Compact"/>
              <w:jc w:val="left"/>
            </w:pPr>
            <w:r>
              <w:t xml:space="preserve">Part 4</w:t>
            </w:r>
          </w:p>
        </w:tc>
        <w:tc>
          <w:tcPr/>
          <w:p>
            <w:pPr>
              <w:pStyle w:val="Compact"/>
              <w:jc w:val="left"/>
            </w:pPr>
            <w:r>
              <w:t xml:space="preserve">Federal AAN — HRIT and the Identity &amp; Organizational SSOT</w:t>
            </w:r>
          </w:p>
        </w:tc>
        <w:tc>
          <w:tcPr/>
          <w:p>
            <w:pPr>
              <w:pStyle w:val="Compact"/>
              <w:jc w:val="left"/>
            </w:pPr>
            <w:r>
              <w:t xml:space="preserve">HR system of record · joiner/mover/leaver lifecycle · org hierarchy as queryable truth · HR-driven provisioning</w:t>
            </w:r>
          </w:p>
        </w:tc>
        <w:tc>
          <w:tcPr/>
          <w:p>
            <w:pPr>
              <w:pStyle w:val="Compact"/>
              <w:jc w:val="left"/>
            </w:pPr>
            <w:r>
              <w:t xml:space="preserve">Oracle HCM Cloud + Entra inbound provisioning</w:t>
            </w:r>
          </w:p>
        </w:tc>
      </w:tr>
      <w:tr>
        <w:tc>
          <w:tcPr/>
          <w:p>
            <w:pPr>
              <w:pStyle w:val="Compact"/>
              <w:jc w:val="left"/>
            </w:pPr>
            <w:r>
              <w:t xml:space="preserve">Part 5</w:t>
            </w:r>
          </w:p>
        </w:tc>
        <w:tc>
          <w:tcPr/>
          <w:p>
            <w:pPr>
              <w:pStyle w:val="Compact"/>
              <w:jc w:val="left"/>
            </w:pPr>
            <w:r>
              <w:t xml:space="preserve">Federal AAN — Network Modernization</w:t>
            </w:r>
          </w:p>
        </w:tc>
        <w:tc>
          <w:tcPr/>
          <w:p>
            <w:pPr>
              <w:pStyle w:val="Compact"/>
              <w:jc w:val="left"/>
            </w:pPr>
            <w:r>
              <w:t xml:space="preserve">Identity · Governance · Active Directory modernization</w:t>
            </w:r>
          </w:p>
        </w:tc>
        <w:tc>
          <w:tcPr/>
          <w:p>
            <w:pPr>
              <w:pStyle w:val="Compact"/>
              <w:jc w:val="left"/>
            </w:pPr>
            <w:r>
              <w:t xml:space="preserve">Entra ID · ZTNA · Active Governance</w:t>
            </w:r>
          </w:p>
        </w:tc>
      </w:tr>
      <w:tr>
        <w:tc>
          <w:tcPr/>
          <w:p>
            <w:pPr>
              <w:pStyle w:val="Compact"/>
              <w:jc w:val="left"/>
            </w:pPr>
            <w:r>
              <w:t xml:space="preserve">Part 6</w:t>
            </w:r>
          </w:p>
        </w:tc>
        <w:tc>
          <w:tcPr/>
          <w:p>
            <w:pPr>
              <w:pStyle w:val="Compact"/>
              <w:jc w:val="left"/>
            </w:pPr>
            <w:r>
              <w:t xml:space="preserve">Federal AAN — Federal Telecommunications Modernization</w:t>
            </w:r>
          </w:p>
        </w:tc>
        <w:tc>
          <w:tcPr/>
          <w:p>
            <w:pPr>
              <w:pStyle w:val="Compact"/>
              <w:jc w:val="left"/>
            </w:pPr>
            <w:r>
              <w:t xml:space="preserve">Amazon Connect · Teams Phone · SD-WAN · SASE</w:t>
            </w:r>
          </w:p>
        </w:tc>
        <w:tc>
          <w:tcPr/>
          <w:p>
            <w:pPr>
              <w:pStyle w:val="Compact"/>
              <w:jc w:val="left"/>
            </w:pPr>
            <w:r>
              <w:t xml:space="preserve">SD-WAN / SASE stack</w:t>
            </w:r>
          </w:p>
        </w:tc>
      </w:tr>
      <w:tr>
        <w:tc>
          <w:tcPr/>
          <w:p>
            <w:pPr>
              <w:pStyle w:val="Compact"/>
              <w:jc w:val="left"/>
            </w:pPr>
            <w:r>
              <w:t xml:space="preserve">Part 7</w:t>
            </w:r>
          </w:p>
        </w:tc>
        <w:tc>
          <w:tcPr/>
          <w:p>
            <w:pPr>
              <w:pStyle w:val="Compact"/>
              <w:jc w:val="left"/>
            </w:pPr>
            <w:r>
              <w:t xml:space="preserve">Federal AAN — SQL Server Authentication Modernization</w:t>
            </w:r>
          </w:p>
        </w:tc>
        <w:tc>
          <w:tcPr/>
          <w:p>
            <w:pPr>
              <w:pStyle w:val="Compact"/>
              <w:jc w:val="left"/>
            </w:pPr>
            <w:r>
              <w:t xml:space="preserve">SQL credential elimination · Arc Managed Identity · NTLM elimination</w:t>
            </w:r>
          </w:p>
        </w:tc>
        <w:tc>
          <w:tcPr/>
          <w:p>
            <w:pPr>
              <w:pStyle w:val="Compact"/>
              <w:jc w:val="left"/>
            </w:pPr>
            <w:r>
              <w:t xml:space="preserve">Azure Arc + Entra ID for SQL</w:t>
            </w:r>
          </w:p>
        </w:tc>
      </w:tr>
      <w:tr>
        <w:tc>
          <w:tcPr/>
          <w:p>
            <w:pPr>
              <w:pStyle w:val="Compact"/>
              <w:jc w:val="left"/>
            </w:pPr>
            <w:r>
              <w:t xml:space="preserve">Part 8</w:t>
            </w:r>
          </w:p>
        </w:tc>
        <w:tc>
          <w:tcPr/>
          <w:p>
            <w:pPr>
              <w:pStyle w:val="Compact"/>
              <w:jc w:val="left"/>
            </w:pPr>
            <w:r>
              <w:t xml:space="preserve">Federal AAN — SQL Server Implementation Guide</w:t>
            </w:r>
          </w:p>
        </w:tc>
        <w:tc>
          <w:tcPr/>
          <w:p>
            <w:pPr>
              <w:pStyle w:val="Compact"/>
              <w:jc w:val="left"/>
            </w:pPr>
            <w:r>
              <w:t xml:space="preserve">10-book runbook: estate audit, Arc deployment, login migration, monitoring</w:t>
            </w:r>
          </w:p>
        </w:tc>
        <w:tc>
          <w:tcPr/>
          <w:p>
            <w:pPr>
              <w:pStyle w:val="Compact"/>
              <w:jc w:val="left"/>
            </w:pPr>
            <w:r>
              <w:t xml:space="preserve">Azure Arc + Entra ID (implementation)</w:t>
            </w:r>
          </w:p>
        </w:tc>
      </w:tr>
      <w:tr>
        <w:tc>
          <w:tcPr/>
          <w:p>
            <w:pPr>
              <w:pStyle w:val="Compact"/>
              <w:jc w:val="left"/>
            </w:pPr>
            <w:r>
              <w:t xml:space="preserve">Part 9</w:t>
            </w:r>
          </w:p>
        </w:tc>
        <w:tc>
          <w:tcPr/>
          <w:p>
            <w:pPr>
              <w:pStyle w:val="Compact"/>
              <w:jc w:val="left"/>
            </w:pPr>
            <w:r>
              <w:t xml:space="preserve">Federal AAN — Database Consolidation and Network Physics</w:t>
            </w:r>
          </w:p>
        </w:tc>
        <w:tc>
          <w:tcPr/>
          <w:p>
            <w:pPr>
              <w:pStyle w:val="Compact"/>
              <w:jc w:val="left"/>
            </w:pPr>
            <w:r>
              <w:t xml:space="preserve">SSOT architecture · SD-WAN for database traffic · consistency class alignment</w:t>
            </w:r>
          </w:p>
        </w:tc>
        <w:tc>
          <w:tcPr/>
          <w:p>
            <w:pPr>
              <w:pStyle w:val="Compact"/>
              <w:jc w:val="left"/>
            </w:pPr>
            <w:r>
              <w:t xml:space="preserve">SQL + Network Physics</w:t>
            </w:r>
          </w:p>
        </w:tc>
      </w:tr>
      <w:tr>
        <w:tc>
          <w:tcPr/>
          <w:p>
            <w:pPr>
              <w:pStyle w:val="Compact"/>
              <w:jc w:val="left"/>
            </w:pPr>
            <w:r>
              <w:t xml:space="preserve">Part 10</w:t>
            </w:r>
          </w:p>
        </w:tc>
        <w:tc>
          <w:tcPr/>
          <w:p>
            <w:pPr>
              <w:pStyle w:val="Compact"/>
              <w:jc w:val="left"/>
            </w:pPr>
            <w:r>
              <w:t xml:space="preserve">Federal AAN — Privileged Access Management</w:t>
            </w:r>
          </w:p>
        </w:tc>
        <w:tc>
          <w:tcPr/>
          <w:p>
            <w:pPr>
              <w:pStyle w:val="Compact"/>
              <w:jc w:val="left"/>
            </w:pPr>
            <w:r>
              <w:t xml:space="preserve">Entra PIM JIT activation · PAW architecture · AC-6 least privilege</w:t>
            </w:r>
          </w:p>
        </w:tc>
        <w:tc>
          <w:tcPr/>
          <w:p>
            <w:pPr>
              <w:pStyle w:val="Compact"/>
              <w:jc w:val="left"/>
            </w:pPr>
            <w:r>
              <w:t xml:space="preserve">Entra PIM + PAW</w:t>
            </w:r>
          </w:p>
        </w:tc>
      </w:tr>
      <w:tr>
        <w:tc>
          <w:tcPr/>
          <w:p>
            <w:pPr>
              <w:pStyle w:val="Compact"/>
              <w:jc w:val="left"/>
            </w:pPr>
            <w:r>
              <w:t xml:space="preserve">Part 11</w:t>
            </w:r>
          </w:p>
        </w:tc>
        <w:tc>
          <w:tcPr/>
          <w:p>
            <w:pPr>
              <w:pStyle w:val="Compact"/>
              <w:jc w:val="left"/>
            </w:pPr>
            <w:r>
              <w:t xml:space="preserve">Federal AAN — Vulnerability Management</w:t>
            </w:r>
          </w:p>
        </w:tc>
        <w:tc>
          <w:tcPr/>
          <w:p>
            <w:pPr>
              <w:pStyle w:val="Compact"/>
              <w:jc w:val="left"/>
            </w:pPr>
            <w:r>
              <w:t xml:space="preserve">Defender VM · CISA KEV integration · RA-5 continuous scanning</w:t>
            </w:r>
          </w:p>
        </w:tc>
        <w:tc>
          <w:tcPr/>
          <w:p>
            <w:pPr>
              <w:pStyle w:val="Compact"/>
              <w:jc w:val="left"/>
            </w:pPr>
            <w:r>
              <w:t xml:space="preserve">Defender MDVM + KEV</w:t>
            </w:r>
          </w:p>
        </w:tc>
      </w:tr>
      <w:tr>
        <w:tc>
          <w:tcPr/>
          <w:p>
            <w:pPr>
              <w:pStyle w:val="Compact"/>
              <w:jc w:val="left"/>
            </w:pPr>
            <w:r>
              <w:t xml:space="preserve">Part 12</w:t>
            </w:r>
          </w:p>
        </w:tc>
        <w:tc>
          <w:tcPr/>
          <w:p>
            <w:pPr>
              <w:pStyle w:val="Compact"/>
              <w:jc w:val="left"/>
            </w:pPr>
            <w:r>
              <w:t xml:space="preserve">Federal AAN — Data Protection and Purview</w:t>
            </w:r>
          </w:p>
        </w:tc>
        <w:tc>
          <w:tcPr/>
          <w:p>
            <w:pPr>
              <w:pStyle w:val="Compact"/>
              <w:jc w:val="left"/>
            </w:pPr>
            <w:r>
              <w:t xml:space="preserve">Purview DLP · sensitivity labels · Key Vault CMK · MP/SC controls</w:t>
            </w:r>
          </w:p>
        </w:tc>
        <w:tc>
          <w:tcPr/>
          <w:p>
            <w:pPr>
              <w:pStyle w:val="Compact"/>
              <w:jc w:val="left"/>
            </w:pPr>
            <w:r>
              <w:t xml:space="preserve">Purview + Key Vault</w:t>
            </w:r>
          </w:p>
        </w:tc>
      </w:tr>
      <w:tr>
        <w:tc>
          <w:tcPr/>
          <w:p>
            <w:pPr>
              <w:pStyle w:val="Compact"/>
              <w:jc w:val="left"/>
            </w:pPr>
            <w:r>
              <w:t xml:space="preserve">Part 13</w:t>
            </w:r>
          </w:p>
        </w:tc>
        <w:tc>
          <w:tcPr/>
          <w:p>
            <w:pPr>
              <w:pStyle w:val="Compact"/>
              <w:jc w:val="left"/>
            </w:pPr>
            <w:r>
              <w:t xml:space="preserve">Federal AAN — SIEM / XDR / Detection Engineering</w:t>
            </w:r>
          </w:p>
        </w:tc>
        <w:tc>
          <w:tcPr/>
          <w:p>
            <w:pPr>
              <w:pStyle w:val="Compact"/>
              <w:jc w:val="left"/>
            </w:pPr>
            <w:r>
              <w:t xml:space="preserve">Sentinel connectors · KQL analytics rules · UEBA scoring · Logic App playbooks</w:t>
            </w:r>
          </w:p>
        </w:tc>
        <w:tc>
          <w:tcPr/>
          <w:p>
            <w:pPr>
              <w:pStyle w:val="Compact"/>
              <w:jc w:val="left"/>
            </w:pPr>
            <w:r>
              <w:t xml:space="preserve">Microsoft Sentinel + Defender XDR</w:t>
            </w:r>
          </w:p>
        </w:tc>
      </w:tr>
      <w:tr>
        <w:tc>
          <w:tcPr/>
          <w:p>
            <w:pPr>
              <w:pStyle w:val="Compact"/>
              <w:jc w:val="left"/>
            </w:pPr>
            <w:r>
              <w:t xml:space="preserve">Part 14</w:t>
            </w:r>
          </w:p>
        </w:tc>
        <w:tc>
          <w:tcPr/>
          <w:p>
            <w:pPr>
              <w:pStyle w:val="Compact"/>
              <w:jc w:val="left"/>
            </w:pPr>
            <w:r>
              <w:t xml:space="preserve">Federal AAN — Business Continuity</w:t>
            </w:r>
          </w:p>
        </w:tc>
        <w:tc>
          <w:tcPr/>
          <w:p>
            <w:pPr>
              <w:pStyle w:val="Compact"/>
              <w:jc w:val="left"/>
            </w:pPr>
            <w:r>
              <w:t xml:space="preserve">CP-2 contingency plan · BIA RTO/RPO/MTD · SQL AG and DDI DR integration</w:t>
            </w:r>
          </w:p>
        </w:tc>
        <w:tc>
          <w:tcPr/>
          <w:p>
            <w:pPr>
              <w:pStyle w:val="Compact"/>
              <w:jc w:val="left"/>
            </w:pPr>
            <w:r>
              <w:t xml:space="preserve">Azure Site Recovery + DR runbooks</w:t>
            </w:r>
          </w:p>
        </w:tc>
      </w:tr>
      <w:tr>
        <w:tc>
          <w:tcPr/>
          <w:p>
            <w:pPr>
              <w:pStyle w:val="Compact"/>
              <w:jc w:val="left"/>
            </w:pPr>
            <w:r>
              <w:t xml:space="preserve">Part 15</w:t>
            </w:r>
          </w:p>
        </w:tc>
        <w:tc>
          <w:tcPr/>
          <w:p>
            <w:pPr>
              <w:pStyle w:val="Compact"/>
              <w:jc w:val="left"/>
            </w:pPr>
            <w:r>
              <w:t xml:space="preserve">Federal AAN — Supply Chain Risk Management</w:t>
            </w:r>
          </w:p>
        </w:tc>
        <w:tc>
          <w:tcPr/>
          <w:p>
            <w:pPr>
              <w:pStyle w:val="Compact"/>
              <w:jc w:val="left"/>
            </w:pPr>
            <w:r>
              <w:t xml:space="preserve">Syft CycloneDX SBOM · Grype VDR · OpenVEX exploitability · GitHub Actions pipeline</w:t>
            </w:r>
          </w:p>
        </w:tc>
        <w:tc>
          <w:tcPr/>
          <w:p>
            <w:pPr>
              <w:pStyle w:val="Compact"/>
              <w:jc w:val="left"/>
            </w:pPr>
            <w:r>
              <w:t xml:space="preserve">BOD 26-04 / SR-family</w:t>
            </w:r>
          </w:p>
        </w:tc>
      </w:tr>
      <w:tr>
        <w:tc>
          <w:tcPr/>
          <w:p>
            <w:pPr>
              <w:pStyle w:val="Compact"/>
              <w:jc w:val="left"/>
            </w:pPr>
            <w:r>
              <w:t xml:space="preserve">Part 16</w:t>
            </w:r>
          </w:p>
        </w:tc>
        <w:tc>
          <w:tcPr/>
          <w:p>
            <w:pPr>
              <w:pStyle w:val="Compact"/>
              <w:jc w:val="left"/>
            </w:pPr>
            <w:r>
              <w:t xml:space="preserve">Federal AAN — Program Management and Governance</w:t>
            </w:r>
          </w:p>
        </w:tc>
        <w:tc>
          <w:tcPr/>
          <w:p>
            <w:pPr>
              <w:pStyle w:val="Compact"/>
              <w:jc w:val="left"/>
            </w:pPr>
            <w:r>
              <w:t xml:space="preserve">ISPP · POA&amp;M · SCRM Charter · Leadership RACI · PM-1/PM-9/PM-30 closure</w:t>
            </w:r>
          </w:p>
        </w:tc>
        <w:tc>
          <w:tcPr/>
          <w:p>
            <w:pPr>
              <w:pStyle w:val="Compact"/>
              <w:jc w:val="left"/>
            </w:pPr>
            <w:r>
              <w:t xml:space="preserve">PM-family governance artifacts</w:t>
            </w:r>
          </w:p>
        </w:tc>
      </w:tr>
      <w:tr>
        <w:tc>
          <w:tcPr/>
          <w:p>
            <w:pPr>
              <w:pStyle w:val="Compact"/>
              <w:jc w:val="left"/>
            </w:pPr>
            <w:r>
              <w:t xml:space="preserve">Part 17</w:t>
            </w:r>
          </w:p>
        </w:tc>
        <w:tc>
          <w:tcPr/>
          <w:p>
            <w:pPr>
              <w:pStyle w:val="Compact"/>
              <w:jc w:val="left"/>
            </w:pPr>
            <w:r>
              <w:t xml:space="preserve">Federal AAN — PII Processing and Transparency</w:t>
            </w:r>
          </w:p>
        </w:tc>
        <w:tc>
          <w:tcPr/>
          <w:p>
            <w:pPr>
              <w:pStyle w:val="Compact"/>
              <w:jc w:val="left"/>
            </w:pPr>
            <w:r>
              <w:t xml:space="preserve">PT family templates · Privacy Program Plan · authority-to-process · Purview Data Map</w:t>
            </w:r>
          </w:p>
        </w:tc>
        <w:tc>
          <w:tcPr/>
          <w:p>
            <w:pPr>
              <w:pStyle w:val="Compact"/>
              <w:jc w:val="left"/>
            </w:pPr>
            <w:r>
              <w:t xml:space="preserve">PT-1–PT-7 GCC Moderate</w:t>
            </w:r>
          </w:p>
        </w:tc>
      </w:tr>
      <w:tr>
        <w:tc>
          <w:tcPr/>
          <w:p>
            <w:pPr>
              <w:pStyle w:val="Compact"/>
              <w:jc w:val="left"/>
            </w:pPr>
            <w:r>
              <w:t xml:space="preserve">Part 18</w:t>
            </w:r>
          </w:p>
        </w:tc>
        <w:tc>
          <w:tcPr/>
          <w:p>
            <w:pPr>
              <w:pStyle w:val="Compact"/>
              <w:jc w:val="left"/>
            </w:pPr>
            <w:r>
              <w:t xml:space="preserve">Federal AAN — Cybersecurity Awareness and Training</w:t>
            </w:r>
          </w:p>
        </w:tc>
        <w:tc>
          <w:tcPr/>
          <w:p>
            <w:pPr>
              <w:pStyle w:val="Compact"/>
              <w:jc w:val="left"/>
            </w:pPr>
            <w:r>
              <w:t xml:space="preserve">AT-2/AT-3 general and role-based training · LMS evidence schema · CP-3 tabletop calendar · IR-2 drill documentation</w:t>
            </w:r>
          </w:p>
        </w:tc>
        <w:tc>
          <w:tcPr/>
          <w:p>
            <w:pPr>
              <w:pStyle w:val="Compact"/>
              <w:jc w:val="left"/>
            </w:pPr>
            <w:r>
              <w:t xml:space="preserve">AT/CP/IR families · KSI-CED-RAT</w:t>
            </w:r>
          </w:p>
        </w:tc>
      </w:tr>
      <w:tr>
        <w:tc>
          <w:tcPr/>
          <w:p>
            <w:pPr>
              <w:pStyle w:val="Compact"/>
              <w:jc w:val="left"/>
            </w:pPr>
            <w:r>
              <w:t xml:space="preserve">Part 19</w:t>
            </w:r>
          </w:p>
        </w:tc>
        <w:tc>
          <w:tcPr/>
          <w:p>
            <w:pPr>
              <w:pStyle w:val="Compact"/>
              <w:jc w:val="left"/>
            </w:pPr>
            <w:r>
              <w:t xml:space="preserve">Federal AAN — Authorization Package and ConMon</w:t>
            </w:r>
          </w:p>
        </w:tc>
        <w:tc>
          <w:tcPr/>
          <w:p>
            <w:pPr>
              <w:pStyle w:val="Compact"/>
              <w:jc w:val="left"/>
            </w:pPr>
            <w:r>
              <w:t xml:space="preserve">FedRAMP 20x authorization package · OSCAL AP+AR+POA&amp;M bundle · BOD 26-04 VDR/VER submission · CA-7 ConMon program</w:t>
            </w:r>
          </w:p>
        </w:tc>
        <w:tc>
          <w:tcPr/>
          <w:p>
            <w:pPr>
              <w:pStyle w:val="Compact"/>
              <w:jc w:val="left"/>
            </w:pPr>
            <w:r>
              <w:t xml:space="preserve">CA-2/5/6/7 · RA-3 · SA-15</w:t>
            </w:r>
          </w:p>
        </w:tc>
      </w:tr>
    </w:tbl>
    <w:bookmarkEnd w:id="23"/>
    <w:bookmarkStart w:id="24" w:name="fedramp-20x-hard-deadlines"/>
    <w:p>
      <w:pPr>
        <w:pStyle w:val="Heading2"/>
      </w:pPr>
      <w:r>
        <w:t xml:space="preserve">FedRAMP 20x Hard Deadlines</w:t>
      </w:r>
    </w:p>
    <w:p>
      <w:pPr>
        <w:pStyle w:val="TableCaption"/>
      </w:pPr>
      <w:r>
        <w:t xml:space="preserve">FedRAMP 20x Authorization Timeline {.striped .hover}</w:t>
      </w:r>
    </w:p>
    <w:tbl>
      <w:tblPr>
        <w:tblStyle w:val="Table"/>
        <w:tblW w:type="pct" w:w="5000"/>
        <w:tblLook w:firstRow="1" w:lastRow="0" w:firstColumn="0" w:lastColumn="0" w:noHBand="0" w:noVBand="0" w:val="0020"/>
        <w:jc w:val="start"/>
        <w:tblCaption w:val="FedRAMP 20x Authorization Timeline {.striped .hover}"/>
      </w:tblPr>
      <w:tblGrid>
        <w:gridCol w:w="2160"/>
        <w:gridCol w:w="2880"/>
        <w:gridCol w:w="288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Impact</w:t>
            </w:r>
          </w:p>
        </w:tc>
      </w:tr>
      <w:tr>
        <w:tc>
          <w:tcPr/>
          <w:p>
            <w:pPr>
              <w:pStyle w:val="Compact"/>
              <w:jc w:val="left"/>
            </w:pPr>
            <w:r>
              <w:rPr>
                <w:bCs/>
                <w:b/>
              </w:rPr>
              <w:t xml:space="preserve">Aug 3, 2026</w:t>
            </w:r>
          </w:p>
        </w:tc>
        <w:tc>
          <w:tcPr/>
          <w:p>
            <w:pPr>
              <w:pStyle w:val="Compact"/>
              <w:jc w:val="left"/>
            </w:pPr>
            <w:r>
              <w:t xml:space="preserve">FedRAMP 20x Class A opens</w:t>
            </w:r>
          </w:p>
        </w:tc>
        <w:tc>
          <w:tcPr/>
          <w:p>
            <w:pPr>
              <w:pStyle w:val="Compact"/>
              <w:jc w:val="left"/>
            </w:pPr>
            <w:r>
              <w:t xml:space="preserve">First submission window for new authorizations</w:t>
            </w:r>
          </w:p>
        </w:tc>
      </w:tr>
      <w:tr>
        <w:tc>
          <w:tcPr/>
          <w:p>
            <w:pPr>
              <w:pStyle w:val="Compact"/>
              <w:jc w:val="left"/>
            </w:pPr>
            <w:r>
              <w:rPr>
                <w:bCs/>
                <w:b/>
              </w:rPr>
              <w:t xml:space="preserve">Aug 31, 2026</w:t>
            </w:r>
          </w:p>
        </w:tc>
        <w:tc>
          <w:tcPr/>
          <w:p>
            <w:pPr>
              <w:pStyle w:val="Compact"/>
              <w:jc w:val="left"/>
            </w:pPr>
            <w:r>
              <w:t xml:space="preserve">Class B + C opens</w:t>
            </w:r>
          </w:p>
        </w:tc>
        <w:tc>
          <w:tcPr/>
          <w:p>
            <w:pPr>
              <w:pStyle w:val="Compact"/>
              <w:jc w:val="left"/>
            </w:pPr>
            <w:r>
              <w:t xml:space="preserve">GCC Moderate systems can begin</w:t>
            </w:r>
          </w:p>
        </w:tc>
      </w:tr>
      <w:tr>
        <w:tc>
          <w:tcPr/>
          <w:p>
            <w:pPr>
              <w:pStyle w:val="Compact"/>
              <w:jc w:val="left"/>
            </w:pPr>
            <w:r>
              <w:rPr>
                <w:bCs/>
                <w:b/>
              </w:rPr>
              <w:t xml:space="preserve">Dec 7, 2026</w:t>
            </w:r>
          </w:p>
        </w:tc>
        <w:tc>
          <w:tcPr/>
          <w:p>
            <w:pPr>
              <w:pStyle w:val="Compact"/>
              <w:jc w:val="left"/>
            </w:pPr>
            <w:r>
              <w:t xml:space="preserve">BOD 26-04 VDR/VER deadline</w:t>
            </w:r>
          </w:p>
        </w:tc>
        <w:tc>
          <w:tcPr/>
          <w:p>
            <w:pPr>
              <w:pStyle w:val="Compact"/>
              <w:jc w:val="left"/>
            </w:pPr>
            <w:r>
              <w:t xml:space="preserve">SBOM + vendor disclosure required; KSI-011–014 become evaluable</w:t>
            </w:r>
          </w:p>
        </w:tc>
      </w:tr>
      <w:tr>
        <w:tc>
          <w:tcPr/>
          <w:p>
            <w:pPr>
              <w:pStyle w:val="Compact"/>
              <w:jc w:val="left"/>
            </w:pPr>
            <w:r>
              <w:rPr>
                <w:bCs/>
                <w:b/>
              </w:rPr>
              <w:t xml:space="preserve">Jan 1, 2027</w:t>
            </w:r>
          </w:p>
        </w:tc>
        <w:tc>
          <w:tcPr/>
          <w:p>
            <w:pPr>
              <w:pStyle w:val="Compact"/>
              <w:jc w:val="left"/>
            </w:pPr>
            <w:r>
              <w:t xml:space="preserve">FedRAMP 20x mandatory</w:t>
            </w:r>
          </w:p>
        </w:tc>
        <w:tc>
          <w:tcPr/>
          <w:p>
            <w:pPr>
              <w:pStyle w:val="Compact"/>
              <w:jc w:val="left"/>
            </w:pPr>
            <w:r>
              <w:t xml:space="preserve">All new authorizations must use 20x; legacy Rev 5 path closes</w:t>
            </w:r>
          </w:p>
        </w:tc>
      </w:tr>
      <w:tr>
        <w:tc>
          <w:tcPr/>
          <w:p>
            <w:pPr>
              <w:pStyle w:val="Compact"/>
              <w:jc w:val="left"/>
            </w:pPr>
            <w:r>
              <w:rPr>
                <w:bCs/>
                <w:b/>
              </w:rPr>
              <w:t xml:space="preserve">Jun 11, 2027</w:t>
            </w:r>
          </w:p>
        </w:tc>
        <w:tc>
          <w:tcPr/>
          <w:p>
            <w:pPr>
              <w:pStyle w:val="Compact"/>
              <w:jc w:val="left"/>
            </w:pPr>
            <w:r>
              <w:t xml:space="preserve">New Rev 5 certs cease</w:t>
            </w:r>
          </w:p>
        </w:tc>
        <w:tc>
          <w:tcPr/>
          <w:p>
            <w:pPr>
              <w:pStyle w:val="Compact"/>
              <w:jc w:val="left"/>
            </w:pPr>
            <w:r>
              <w:t xml:space="preserve">No new legacy authorizations after this date</w:t>
            </w:r>
          </w:p>
        </w:tc>
      </w:tr>
    </w:tbl>
    <w:p>
      <w:r>
        <w:pict>
          <v:rect style="width:0;height:1.5pt" o:hralign="center" o:hrstd="t" o:hr="t"/>
        </w:pict>
      </w:r>
    </w:p>
    <w:bookmarkEnd w:id="24"/>
    <w:bookmarkStart w:id="25" w:name="the-functional-plane-model"/>
    <w:p>
      <w:pPr>
        <w:pStyle w:val="Heading1"/>
      </w:pPr>
      <w:r>
        <w:t xml:space="preserve">The Functional Plane Model</w:t>
      </w:r>
    </w:p>
    <w:p>
      <w:pPr>
        <w:pStyle w:val="FirstParagraph"/>
      </w:pPr>
      <w:r>
        <w:t xml:space="preserve">This series describes</w:t>
      </w:r>
      <w:r>
        <w:t xml:space="preserve"> </w:t>
      </w:r>
      <w:r>
        <w:rPr>
          <w:bCs/>
          <w:b/>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TableCaption"/>
      </w:pPr>
      <w:r>
        <w:t xml:space="preserve">The Six Functional Planes {.striped .hover}</w:t>
      </w:r>
    </w:p>
    <w:tbl>
      <w:tblPr>
        <w:tblStyle w:val="Table"/>
        <w:tblW w:type="pct" w:w="5000"/>
        <w:tblLook w:firstRow="1" w:lastRow="0" w:firstColumn="0" w:lastColumn="0" w:noHBand="0" w:noVBand="0" w:val="0020"/>
        <w:jc w:val="start"/>
        <w:tblCaption w:val="The Six Functional Planes {.striped .hover}"/>
      </w:tblPr>
      <w:tblGrid>
        <w:gridCol w:w="1980"/>
        <w:gridCol w:w="1980"/>
        <w:gridCol w:w="1980"/>
        <w:gridCol w:w="1980"/>
      </w:tblGrid>
      <w:tr>
        <w:trPr>
          <w:tblHeader w:val="true"/>
        </w:trPr>
        <w:tc>
          <w:tcPr/>
          <w:p>
            <w:pPr>
              <w:pStyle w:val="Compact"/>
              <w:jc w:val="left"/>
            </w:pPr>
            <w:r>
              <w:t xml:space="preserve">Plane</w:t>
            </w:r>
          </w:p>
        </w:tc>
        <w:tc>
          <w:tcPr/>
          <w:p>
            <w:pPr>
              <w:pStyle w:val="Compact"/>
              <w:jc w:val="left"/>
            </w:pPr>
            <w:r>
              <w:t xml:space="preserve">Function</w:t>
            </w:r>
          </w:p>
        </w:tc>
        <w:tc>
          <w:tcPr/>
          <w:p>
            <w:pPr>
              <w:pStyle w:val="Compact"/>
              <w:jc w:val="left"/>
            </w:pPr>
            <w:r>
              <w:t xml:space="preserve">Representative capabilities</w:t>
            </w:r>
          </w:p>
        </w:tc>
        <w:tc>
          <w:tcPr/>
          <w:p>
            <w:pPr>
              <w:pStyle w:val="Compact"/>
              <w:jc w:val="left"/>
            </w:pPr>
            <w:r>
              <w:t xml:space="preserve">Series home</w:t>
            </w:r>
          </w:p>
        </w:tc>
      </w:tr>
      <w:tr>
        <w:tc>
          <w:tcPr/>
          <w:p>
            <w:pPr>
              <w:pStyle w:val="Compact"/>
              <w:jc w:val="left"/>
            </w:pPr>
            <w:r>
              <w:rPr>
                <w:bCs/>
                <w:b/>
              </w:rPr>
              <w:t xml:space="preserve">1 — Transport</w:t>
            </w:r>
          </w:p>
        </w:tc>
        <w:tc>
          <w:tcPr/>
          <w:p>
            <w:pPr>
              <w:pStyle w:val="Compact"/>
              <w:jc w:val="left"/>
            </w:pPr>
            <w:r>
              <w:t xml:space="preserve">Move packets between sites and clouds</w:t>
            </w:r>
          </w:p>
        </w:tc>
        <w:tc>
          <w:tcPr/>
          <w:p>
            <w:pPr>
              <w:pStyle w:val="Compact"/>
              <w:jc w:val="left"/>
            </w:pPr>
            <w:r>
              <w:t xml:space="preserve">Circuits, MPLS → DIA, SD-WAN overlay, path selection, QoS</w:t>
            </w:r>
          </w:p>
        </w:tc>
        <w:tc>
          <w:tcPr/>
          <w:p>
            <w:pPr>
              <w:pStyle w:val="Compact"/>
              <w:jc w:val="left"/>
            </w:pPr>
            <w:r>
              <w:t xml:space="preserve">Parts 6, 9</w:t>
            </w:r>
          </w:p>
        </w:tc>
      </w:tr>
      <w:tr>
        <w:tc>
          <w:tcPr/>
          <w:p>
            <w:pPr>
              <w:pStyle w:val="Compact"/>
              <w:jc w:val="left"/>
            </w:pPr>
            <w:r>
              <w:rPr>
                <w:bCs/>
                <w:b/>
              </w:rPr>
              <w:t xml:space="preserve">2 — Naming &amp; addressing</w:t>
            </w:r>
          </w:p>
        </w:tc>
        <w:tc>
          <w:tcPr/>
          <w:p>
            <w:pPr>
              <w:pStyle w:val="Compact"/>
              <w:jc w:val="left"/>
            </w:pPr>
            <w:r>
              <w:t xml:space="preserve">Assert what things are called and where they live</w:t>
            </w:r>
          </w:p>
        </w:tc>
        <w:tc>
          <w:tcPr/>
          <w:p>
            <w:pPr>
              <w:pStyle w:val="Compact"/>
              <w:jc w:val="left"/>
            </w:pPr>
            <w:r>
              <w:t xml:space="preserve">DNS, DHCP, IPAM, DNSSEC, RPZ, certificate issuance (DDI + PKI)</w:t>
            </w:r>
          </w:p>
        </w:tc>
        <w:tc>
          <w:tcPr/>
          <w:p>
            <w:pPr>
              <w:pStyle w:val="Compact"/>
              <w:jc w:val="left"/>
            </w:pPr>
            <w:r>
              <w:t xml:space="preserve">Parts 1, 3</w:t>
            </w:r>
          </w:p>
        </w:tc>
      </w:tr>
      <w:tr>
        <w:tc>
          <w:tcPr/>
          <w:p>
            <w:pPr>
              <w:pStyle w:val="Compact"/>
              <w:jc w:val="left"/>
            </w:pPr>
            <w:r>
              <w:rPr>
                <w:bCs/>
                <w:b/>
              </w:rPr>
              <w:t xml:space="preserve">3 — Identity</w:t>
            </w:r>
          </w:p>
        </w:tc>
        <w:tc>
          <w:tcPr/>
          <w:p>
            <w:pPr>
              <w:pStyle w:val="Compact"/>
              <w:jc w:val="left"/>
            </w:pPr>
            <w:r>
              <w:t xml:space="preserve">Assert who and what is requesting</w:t>
            </w:r>
          </w:p>
        </w:tc>
        <w:tc>
          <w:tcPr/>
          <w:p>
            <w:pPr>
              <w:pStyle w:val="Compact"/>
              <w:jc w:val="left"/>
            </w:pPr>
            <w:r>
              <w:t xml:space="preserve">Device identity (NAC/802.1X), user identity (Entra ID), workload identity, tokens (OAuth/OIDC, CBA)</w:t>
            </w:r>
          </w:p>
        </w:tc>
        <w:tc>
          <w:tcPr/>
          <w:p>
            <w:pPr>
              <w:pStyle w:val="Compact"/>
              <w:jc w:val="left"/>
            </w:pPr>
            <w:r>
              <w:t xml:space="preserve">Parts 2, 3, 4, 6</w:t>
            </w:r>
          </w:p>
        </w:tc>
      </w:tr>
      <w:tr>
        <w:tc>
          <w:tcPr/>
          <w:p>
            <w:pPr>
              <w:pStyle w:val="Compact"/>
              <w:jc w:val="left"/>
            </w:pPr>
            <w:r>
              <w:rPr>
                <w:bCs/>
                <w:b/>
              </w:rPr>
              <w:t xml:space="preserve">4 — Policy enforcement</w:t>
            </w:r>
          </w:p>
        </w:tc>
        <w:tc>
          <w:tcPr/>
          <w:p>
            <w:pPr>
              <w:pStyle w:val="Compact"/>
              <w:jc w:val="left"/>
            </w:pPr>
            <w:r>
              <w:t xml:space="preserve">Decide and enforce per session</w:t>
            </w:r>
          </w:p>
        </w:tc>
        <w:tc>
          <w:tcPr/>
          <w:p>
            <w:pPr>
              <w:pStyle w:val="Compact"/>
              <w:jc w:val="left"/>
            </w:pPr>
            <w:r>
              <w:t xml:space="preserve">SASE (SWG/CASB/FWaaS), ZTNA, TIC 3.0 PEPs, Conditional Access</w:t>
            </w:r>
          </w:p>
        </w:tc>
        <w:tc>
          <w:tcPr/>
          <w:p>
            <w:pPr>
              <w:pStyle w:val="Compact"/>
              <w:jc w:val="left"/>
            </w:pPr>
            <w:r>
              <w:t xml:space="preserve">Parts 5, 6</w:t>
            </w:r>
          </w:p>
        </w:tc>
      </w:tr>
      <w:tr>
        <w:tc>
          <w:tcPr/>
          <w:p>
            <w:pPr>
              <w:pStyle w:val="Compact"/>
              <w:jc w:val="left"/>
            </w:pPr>
            <w:r>
              <w:rPr>
                <w:bCs/>
                <w:b/>
              </w:rPr>
              <w:t xml:space="preserve">5 — Application &amp; experience</w:t>
            </w:r>
          </w:p>
        </w:tc>
        <w:tc>
          <w:tcPr/>
          <w:p>
            <w:pPr>
              <w:pStyle w:val="Compact"/>
              <w:jc w:val="left"/>
            </w:pPr>
            <w:r>
              <w:t xml:space="preserve">Deliver the mission service</w:t>
            </w:r>
          </w:p>
        </w:tc>
        <w:tc>
          <w:tcPr/>
          <w:p>
            <w:pPr>
              <w:pStyle w:val="Compact"/>
              <w:jc w:val="left"/>
            </w:pPr>
            <w:r>
              <w:t xml:space="preserve">Contact center, unified communications, business applications, databases</w:t>
            </w:r>
          </w:p>
        </w:tc>
        <w:tc>
          <w:tcPr/>
          <w:p>
            <w:pPr>
              <w:pStyle w:val="Compact"/>
              <w:jc w:val="left"/>
            </w:pPr>
            <w:r>
              <w:t xml:space="preserve">Parts 6–9</w:t>
            </w:r>
          </w:p>
        </w:tc>
      </w:tr>
      <w:tr>
        <w:tc>
          <w:tcPr/>
          <w:p>
            <w:pPr>
              <w:pStyle w:val="Compact"/>
              <w:jc w:val="left"/>
            </w:pPr>
            <w:r>
              <w:rPr>
                <w:bCs/>
                <w:b/>
              </w:rPr>
              <w:t xml:space="preserve">6 — Evidence &amp; telemetry</w:t>
            </w:r>
          </w:p>
        </w:tc>
        <w:tc>
          <w:tcPr/>
          <w:p>
            <w:pPr>
              <w:pStyle w:val="Compact"/>
              <w:jc w:val="left"/>
            </w:pPr>
            <w:r>
              <w:t xml:space="preserve">Prove continuously what happened</w:t>
            </w:r>
          </w:p>
        </w:tc>
        <w:tc>
          <w:tcPr/>
          <w:p>
            <w:pPr>
              <w:pStyle w:val="Compact"/>
              <w:jc w:val="left"/>
            </w:pPr>
            <w:r>
              <w:t xml:space="preserve">SIEM/XDR, per-session records, OSCAL bundle, KSI evidence pipeline</w:t>
            </w:r>
          </w:p>
        </w:tc>
        <w:tc>
          <w:tcPr/>
          <w:p>
            <w:pPr>
              <w:pStyle w:val="Compact"/>
              <w:jc w:val="left"/>
            </w:pPr>
            <w:r>
              <w:t xml:space="preserve">Parts 13, 19</w:t>
            </w:r>
          </w:p>
        </w:tc>
      </w:tr>
    </w:tbl>
    <w:p>
      <w:pPr>
        <w:pStyle w:val="BodyText"/>
      </w:pPr>
      <w:r>
        <w:t xml:space="preserve">The planes are not peers. The series’ organizing principle —</w:t>
      </w:r>
      <w:r>
        <w:t xml:space="preserve"> </w:t>
      </w:r>
      <w:r>
        <w:rPr>
          <w:bCs/>
          <w:b/>
        </w:rPr>
        <w:t xml:space="preserve">separate truth</w:t>
      </w:r>
      <w:r>
        <w:rPr>
          <w:bCs/>
          <w:b/>
        </w:rPr>
        <w:t xml:space="preserve"> </w:t>
      </w:r>
      <w:r>
        <w:rPr>
          <w:bCs/>
          <w:b/>
        </w:rPr>
        <w:t xml:space="preserve">from enforcement</w:t>
      </w:r>
      <w:r>
        <w:t xml:space="preserve"> </w:t>
      </w:r>
      <w:r>
        <w:t xml:space="preserve">— imposes a hierarchy: planes 2, 3, and 6 are</w:t>
      </w:r>
      <w:r>
        <w:t xml:space="preserve"> </w:t>
      </w:r>
      <w:r>
        <w:rPr>
          <w:bCs/>
          <w:b/>
        </w:rPr>
        <w:t xml:space="preserve">truth</w:t>
      </w:r>
      <w:r>
        <w:rPr>
          <w:bCs/>
          <w:b/>
        </w:rPr>
        <w:t xml:space="preserve"> </w:t>
      </w:r>
      <w:r>
        <w:rPr>
          <w:bCs/>
          <w:b/>
        </w:rPr>
        <w:t xml:space="preserve">planes</w:t>
      </w:r>
      <w:r>
        <w:t xml:space="preserve"> </w:t>
      </w:r>
      <w:r>
        <w:t xml:space="preserve">(they assert what is), planes 1 and 4 are</w:t>
      </w:r>
      <w:r>
        <w:t xml:space="preserve"> </w:t>
      </w:r>
      <w:r>
        <w:rPr>
          <w:bCs/>
          <w:b/>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Cs/>
          <w:b/>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25"/>
    <w:bookmarkStart w:id="27" w:name="the-closure-necessity-doctrine"/>
    <w:p>
      <w:pPr>
        <w:pStyle w:val="Heading1"/>
      </w:pPr>
      <w:r>
        <w:t xml:space="preserve">The Closure Necessity Doctrine</w:t>
      </w:r>
    </w:p>
    <w:p>
      <w:pPr>
        <w:pStyle w:val="FirstParagraph"/>
      </w:pPr>
      <w:r>
        <w:t xml:space="preserve">The claim this series makes is stronger than</w:t>
      </w:r>
      <w:r>
        <w:t xml:space="preserve"> </w:t>
      </w:r>
      <w:r>
        <w:t xml:space="preserve">“</w:t>
      </w:r>
      <w:r>
        <w:t xml:space="preserve">recommended</w:t>
      </w:r>
      <w:r>
        <w:t xml:space="preserve">”</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Cs/>
          <w:b/>
        </w:rPr>
        <w:t xml:space="preserve">only</w:t>
      </w:r>
      <w:r>
        <w:t xml:space="preserve"> </w:t>
      </w:r>
      <w:r>
        <w:t xml:space="preserve">closure mechanisms — every</w:t>
      </w:r>
      <w:r>
        <w:t xml:space="preserve"> </w:t>
      </w:r>
      <w:r>
        <w:t xml:space="preserve">“</w:t>
      </w:r>
      <w:r>
        <w:t xml:space="preserve">required</w:t>
      </w:r>
      <w:r>
        <w:t xml:space="preserve">”</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 {.striped .hover}</w:t>
      </w:r>
    </w:p>
    <w:tbl>
      <w:tblPr>
        <w:tblStyle w:val="Table"/>
        <w:tblW w:type="pct" w:w="5000"/>
        <w:tblLook w:firstRow="1" w:lastRow="0" w:firstColumn="0" w:lastColumn="0" w:noHBand="0" w:noVBand="0" w:val="0020"/>
        <w:jc w:val="start"/>
        <w:tblCaption w:val="The Three Necessity Anchors {.striped .hover}"/>
      </w:tblPr>
      <w:tblGrid>
        <w:gridCol w:w="2640"/>
        <w:gridCol w:w="2640"/>
        <w:gridCol w:w="2640"/>
      </w:tblGrid>
      <w:tr>
        <w:trPr>
          <w:tblHeader w:val="true"/>
        </w:trPr>
        <w:tc>
          <w:tcPr/>
          <w:p>
            <w:pPr>
              <w:pStyle w:val="Compact"/>
              <w:jc w:val="left"/>
            </w:pPr>
            <w:r>
              <w:t xml:space="preserve">Required technology</w:t>
            </w:r>
          </w:p>
        </w:tc>
        <w:tc>
          <w:tcPr/>
          <w:p>
            <w:pPr>
              <w:pStyle w:val="Compact"/>
              <w:jc w:val="left"/>
            </w:pPr>
            <w:r>
              <w:t xml:space="preserve">Controls with no alternate closure path</w:t>
            </w:r>
          </w:p>
        </w:tc>
        <w:tc>
          <w:tcPr/>
          <w:p>
            <w:pPr>
              <w:pStyle w:val="Compact"/>
              <w:jc w:val="left"/>
            </w:pPr>
            <w:r>
              <w:t xml:space="preserve">Why no alternative exists</w:t>
            </w:r>
          </w:p>
        </w:tc>
      </w:tr>
      <w:tr>
        <w:tc>
          <w:tcPr/>
          <w:p>
            <w:pPr>
              <w:pStyle w:val="Compact"/>
              <w:jc w:val="left"/>
            </w:pPr>
            <w:r>
              <w:rPr>
                <w:bCs/>
                <w:b/>
              </w:rPr>
              <w:t xml:space="preserve">IPAM/DDI</w:t>
            </w:r>
            <w:r>
              <w:t xml:space="preserve"> </w:t>
            </w:r>
            <w:r>
              <w:t xml:space="preserve">— authoritative naming and addressing plane</w:t>
            </w:r>
          </w:p>
        </w:tc>
        <w:tc>
          <w:tcPr/>
          <w:p>
            <w:pPr>
              <w:pStyle w:val="Compact"/>
              <w:jc w:val="left"/>
            </w:pPr>
            <w:r>
              <w:t xml:space="preserve">SC-20, SC-20(1), SC-21, SC-22 (authoritative/recursive DNS); CM-8, CM-8(1) (component inventory); IA-9 (service identification)</w:t>
            </w:r>
          </w:p>
        </w:tc>
        <w:tc>
          <w:tcPr/>
          <w:p>
            <w:pPr>
              <w:pStyle w:val="Compact"/>
              <w:jc w:val="lef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jc w:val="left"/>
            </w:pPr>
            <w:r>
              <w:rPr>
                <w:bCs/>
                <w:b/>
              </w:rPr>
              <w:t xml:space="preserve">SD-WAN</w:t>
            </w:r>
            <w:r>
              <w:t xml:space="preserve"> </w:t>
            </w:r>
            <w:r>
              <w:t xml:space="preserve">— encrypted, application-aware transport overlay</w:t>
            </w:r>
          </w:p>
        </w:tc>
        <w:tc>
          <w:tcPr/>
          <w:p>
            <w:pPr>
              <w:pStyle w:val="Compact"/>
              <w:jc w:val="left"/>
            </w:pPr>
            <w:r>
              <w:t xml:space="preserve">SC-8, SC-8(1) on DIA circuits (network-layer encryption); SC-5 (traffic-class separation); SI-4 (application-layer telemetry on transport)</w:t>
            </w:r>
          </w:p>
        </w:tc>
        <w:tc>
          <w:tcPr/>
          <w:p>
            <w:pPr>
              <w:pStyle w:val="Compact"/>
              <w:jc w:val="lef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jc w:val="left"/>
            </w:pPr>
            <w:r>
              <w:rPr>
                <w:bCs/>
                <w:b/>
              </w:rPr>
              <w:t xml:space="preserve">TIC 3.0</w:t>
            </w:r>
            <w:r>
              <w:t xml:space="preserve"> </w:t>
            </w:r>
            <w:r>
              <w:t xml:space="preserve">— distributed policy enforcement for the pipes</w:t>
            </w:r>
          </w:p>
        </w:tc>
        <w:tc>
          <w:tcPr/>
          <w:p>
            <w:pPr>
              <w:pStyle w:val="Compact"/>
              <w:jc w:val="left"/>
            </w:pPr>
            <w:r>
              <w:t xml:space="preserve">SC-7, SC-7(7) (boundary protection on distributed egress); AC-4 (information flow enforcement outside the legacy TIC access point)</w:t>
            </w:r>
          </w:p>
        </w:tc>
        <w:tc>
          <w:tcPr/>
          <w:p>
            <w:pPr>
              <w:pStyle w:val="Compact"/>
              <w:jc w:val="left"/>
            </w:pPr>
            <w:r>
              <w:t xml:space="preserve">Under TIC 3.0, DIA is</w:t>
            </w:r>
            <w:r>
              <w:t xml:space="preserve"> </w:t>
            </w:r>
            <w:r>
              <w:rPr>
                <w:iCs/>
                <w:i/>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bookmarkStart w:id="26" w:name="dia-is-a-pipe-the-three-step-argument"/>
    <w:p>
      <w:pPr>
        <w:pStyle w:val="Heading2"/>
      </w:pPr>
      <w:r>
        <w:t xml:space="preserve">DIA Is a Pipe — The Three-Step Argument</w:t>
      </w:r>
    </w:p>
    <w:p>
      <w:pPr>
        <w:numPr>
          <w:ilvl w:val="0"/>
          <w:numId w:val="1005"/>
        </w:numPr>
        <w:pStyle w:val="Compact"/>
      </w:pPr>
      <w:r>
        <w:rPr>
          <w:bCs/>
          <w:b/>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numPr>
          <w:ilvl w:val="0"/>
          <w:numId w:val="1005"/>
        </w:numPr>
        <w:pStyle w:val="Compact"/>
      </w:pPr>
      <w:r>
        <w:rPr>
          <w:bCs/>
          <w:b/>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numPr>
          <w:ilvl w:val="0"/>
          <w:numId w:val="1005"/>
        </w:numPr>
        <w:pStyle w:val="Compact"/>
      </w:pPr>
      <w:r>
        <w:rPr>
          <w:bCs/>
          <w:b/>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Cs/>
          <w:i/>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bookmarkEnd w:id="26"/>
    <w:bookmarkEnd w:id="27"/>
    <w:bookmarkStart w:id="28" w:name="Xf8de29cfeb422b4472c7c7d92bb03b44a5c864b"/>
    <w:p>
      <w:pPr>
        <w:pStyle w:val="Heading1"/>
      </w:pPr>
      <w:r>
        <w:t xml:space="preserve">The Dissolution of the Load-Balancer Tier</w:t>
      </w:r>
    </w:p>
    <w:p>
      <w:pPr>
        <w:pStyle w:val="FirstParagraph"/>
      </w:pPr>
      <w:r>
        <w:t xml:space="preserve">A common objection to the transport doctrine above is that SD-WAN</w:t>
      </w:r>
      <w:r>
        <w:t xml:space="preserve"> </w:t>
      </w:r>
      <w:r>
        <w:t xml:space="preserve">“</w:t>
      </w:r>
      <w:r>
        <w:t xml:space="preserve">replaces</w:t>
      </w:r>
      <w:r>
        <w:t xml:space="preserve">”</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Cs/>
          <w:b/>
        </w:rPr>
        <w:t xml:space="preserve">SD-WAN retires the WAN edge. The load-balancer tier dissolves upward into</w:t>
      </w:r>
      <w:r>
        <w:rPr>
          <w:bCs/>
          <w:b/>
        </w:rPr>
        <w:t xml:space="preserve"> </w:t>
      </w:r>
      <w:r>
        <w:rPr>
          <w:bCs/>
          <w:b/>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 {.striped .hover}</w:t>
      </w:r>
    </w:p>
    <w:tbl>
      <w:tblPr>
        <w:tblStyle w:val="Table"/>
        <w:tblW w:type="pct" w:w="5000"/>
        <w:tblLook w:firstRow="1" w:lastRow="0" w:firstColumn="0" w:lastColumn="0" w:noHBand="0" w:noVBand="0" w:val="0020"/>
        <w:jc w:val="start"/>
        <w:tblCaption w:val="Where the ADC Tier’s Functions Land {.striped .hover}"/>
      </w:tblPr>
      <w:tblGrid>
        <w:gridCol w:w="1980"/>
        <w:gridCol w:w="1980"/>
        <w:gridCol w:w="1980"/>
        <w:gridCol w:w="1980"/>
      </w:tblGrid>
      <w:tr>
        <w:trPr>
          <w:tblHeader w:val="true"/>
        </w:trPr>
        <w:tc>
          <w:tcPr/>
          <w:p>
            <w:pPr>
              <w:pStyle w:val="Compact"/>
              <w:jc w:val="left"/>
            </w:pPr>
            <w:r>
              <w:t xml:space="preserve">Legacy function</w:t>
            </w:r>
          </w:p>
        </w:tc>
        <w:tc>
          <w:tcPr/>
          <w:p>
            <w:pPr>
              <w:pStyle w:val="Compact"/>
              <w:jc w:val="left"/>
            </w:pPr>
            <w:r>
              <w:t xml:space="preserve">Dissolves into</w:t>
            </w:r>
          </w:p>
        </w:tc>
        <w:tc>
          <w:tcPr/>
          <w:p>
            <w:pPr>
              <w:pStyle w:val="Compact"/>
              <w:jc w:val="left"/>
            </w:pPr>
            <w:r>
              <w:t xml:space="preserve">Functional plane</w:t>
            </w:r>
          </w:p>
        </w:tc>
        <w:tc>
          <w:tcPr/>
          <w:p>
            <w:pPr>
              <w:pStyle w:val="Compact"/>
              <w:jc w:val="left"/>
            </w:pPr>
            <w:r>
              <w:t xml:space="preserve">Series home</w:t>
            </w:r>
          </w:p>
        </w:tc>
      </w:tr>
      <w:tr>
        <w:tc>
          <w:tcPr/>
          <w:p>
            <w:pPr>
              <w:pStyle w:val="Compact"/>
              <w:jc w:val="left"/>
            </w:pPr>
            <w:r>
              <w:t xml:space="preserve">Forward proxy · VPN concentrator · SWG appliance</w:t>
            </w:r>
          </w:p>
        </w:tc>
        <w:tc>
          <w:tcPr/>
          <w:p>
            <w:pPr>
              <w:pStyle w:val="Compact"/>
              <w:jc w:val="left"/>
            </w:pPr>
            <w:r>
              <w:t xml:space="preserve">SASE/SSE (SWG, CASB, ZTNA)</w:t>
            </w:r>
          </w:p>
        </w:tc>
        <w:tc>
          <w:tcPr/>
          <w:p>
            <w:pPr>
              <w:pStyle w:val="Compact"/>
              <w:jc w:val="left"/>
            </w:pPr>
            <w:r>
              <w:t xml:space="preserve">Policy enforcement (plane 4)</w:t>
            </w:r>
          </w:p>
        </w:tc>
        <w:tc>
          <w:tcPr/>
          <w:p>
            <w:pPr>
              <w:pStyle w:val="Compact"/>
              <w:jc w:val="left"/>
            </w:pPr>
            <w:r>
              <w:t xml:space="preserve">Parts 5–6</w:t>
            </w:r>
          </w:p>
        </w:tc>
      </w:tr>
      <w:tr>
        <w:tc>
          <w:tcPr/>
          <w:p>
            <w:pPr>
              <w:pStyle w:val="Compact"/>
              <w:jc w:val="left"/>
            </w:pPr>
            <w:r>
              <w:t xml:space="preserve">Hardware ADC · reverse proxy · TLS offload</w:t>
            </w:r>
          </w:p>
        </w:tc>
        <w:tc>
          <w:tcPr/>
          <w:p>
            <w:pPr>
              <w:pStyle w:val="Compact"/>
              <w:jc w:val="left"/>
            </w:pPr>
            <w:r>
              <w:t xml:space="preserve">Cloud-native delivery services provisioned in the landing zone (application gateways, L4/L7 cloud load balancers)</w:t>
            </w:r>
          </w:p>
        </w:tc>
        <w:tc>
          <w:tcPr/>
          <w:p>
            <w:pPr>
              <w:pStyle w:val="Compact"/>
              <w:jc w:val="left"/>
            </w:pPr>
            <w:r>
              <w:t xml:space="preserve">Application delivery (plane 5, landing-zone function)</w:t>
            </w:r>
          </w:p>
        </w:tc>
        <w:tc>
          <w:tcPr/>
          <w:p>
            <w:pPr>
              <w:pStyle w:val="Compact"/>
              <w:jc w:val="left"/>
            </w:pPr>
            <w:r>
              <w:t xml:space="preserve">Part 1</w:t>
            </w:r>
          </w:p>
        </w:tc>
      </w:tr>
      <w:tr>
        <w:tc>
          <w:tcPr/>
          <w:p>
            <w:pPr>
              <w:pStyle w:val="Compact"/>
              <w:jc w:val="left"/>
            </w:pPr>
            <w:r>
              <w:t xml:space="preserve">Global server load balancing (GSLB) · traffic steering</w:t>
            </w:r>
          </w:p>
        </w:tc>
        <w:tc>
          <w:tcPr/>
          <w:p>
            <w:pPr>
              <w:pStyle w:val="Compact"/>
              <w:jc w:val="left"/>
            </w:pPr>
            <w:r>
              <w:t xml:space="preserve">DNS-based traffic management — health-checked responses, weighted and geo policies</w:t>
            </w:r>
          </w:p>
        </w:tc>
        <w:tc>
          <w:tcPr/>
          <w:p>
            <w:pPr>
              <w:pStyle w:val="Compact"/>
              <w:jc w:val="left"/>
            </w:pPr>
            <w:r>
              <w:rPr>
                <w:bCs/>
                <w:b/>
              </w:rPr>
              <w:t xml:space="preserve">Naming &amp; addressing (plane 2) — a DDI control-plane function</w:t>
            </w:r>
          </w:p>
        </w:tc>
        <w:tc>
          <w:tcPr/>
          <w:p>
            <w:pPr>
              <w:pStyle w:val="Compact"/>
              <w:jc w:val="left"/>
            </w:pPr>
            <w:r>
              <w:t xml:space="preserve">Parts 1, 3</w:t>
            </w:r>
          </w:p>
        </w:tc>
      </w:tr>
    </w:tbl>
    <w:p>
      <w:pPr>
        <w:pStyle w:val="BodyText"/>
      </w:pPr>
      <w:r>
        <w:t xml:space="preserve">The third row is the one to watch: global traffic steering</w:t>
      </w:r>
      <w:r>
        <w:t xml:space="preserve"> </w:t>
      </w:r>
      <w:r>
        <w:rPr>
          <w:iCs/>
          <w:i/>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28"/>
    <w:bookmarkStart w:id="34" w:name="X61a7a87a6a804b656956b0680aba9e198648b99"/>
    <w:p>
      <w:pPr>
        <w:pStyle w:val="Heading1"/>
      </w:pPr>
      <w:r>
        <w:t xml:space="preserve">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29" w:name="what-assessment-tools-actually-do"/>
    <w:p>
      <w:pPr>
        <w:pStyle w:val="Heading2"/>
      </w:pPr>
      <w:r>
        <w:t xml:space="preserve">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Cs/>
          <w:b/>
        </w:rPr>
        <w:t xml:space="preserve">diagnostic</w:t>
      </w:r>
      <w:r>
        <w:rPr>
          <w:bCs/>
          <w:b/>
        </w:rPr>
        <w:t xml:space="preserve"> </w:t>
      </w:r>
      <w:r>
        <w:rPr>
          <w:bCs/>
          <w:b/>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numPr>
          <w:ilvl w:val="0"/>
          <w:numId w:val="1006"/>
        </w:numPr>
        <w:pStyle w:val="Compact"/>
      </w:pPr>
      <w:r>
        <w:rPr>
          <w:bCs/>
          <w:b/>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numPr>
          <w:ilvl w:val="0"/>
          <w:numId w:val="1006"/>
        </w:numPr>
        <w:pStyle w:val="Compact"/>
      </w:pPr>
      <w:r>
        <w:rPr>
          <w:bCs/>
          <w:b/>
        </w:rPr>
        <w:t xml:space="preserve">Prescribe your identity integration path.</w:t>
      </w:r>
      <w:r>
        <w:t xml:space="preserve"> </w:t>
      </w:r>
      <w:r>
        <w:t xml:space="preserve">ZTTT can score your</w:t>
      </w:r>
      <w:r>
        <w:t xml:space="preserve"> </w:t>
      </w:r>
      <w:r>
        <w:t xml:space="preserve">Zero Trust maturity at</w:t>
      </w:r>
      <w:r>
        <w:t xml:space="preserve"> </w:t>
      </w:r>
      <w:r>
        <w:t xml:space="preserve">“</w:t>
      </w:r>
      <w:r>
        <w:t xml:space="preserve">Traditional.</w:t>
      </w:r>
      <w:r>
        <w:t xml:space="preserve">”</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w:t>
      </w:r>
      <w:r>
        <w:t xml:space="preserve">Advanced.</w:t>
      </w:r>
      <w:r>
        <w:t xml:space="preserve">”</w:t>
      </w:r>
    </w:p>
    <w:p>
      <w:pPr>
        <w:numPr>
          <w:ilvl w:val="0"/>
          <w:numId w:val="1006"/>
        </w:numPr>
        <w:pStyle w:val="Compact"/>
      </w:pPr>
      <w:r>
        <w:rPr>
          <w:bCs/>
          <w:b/>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numPr>
          <w:ilvl w:val="0"/>
          <w:numId w:val="1006"/>
        </w:numPr>
        <w:pStyle w:val="Compact"/>
      </w:pPr>
      <w:r>
        <w:rPr>
          <w:bCs/>
          <w:b/>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Cs/>
          <w:b/>
        </w:rPr>
        <w:t xml:space="preserve">assessment tools tell you your blood pressure. They do not design</w:t>
      </w:r>
      <w:r>
        <w:rPr>
          <w:bCs/>
          <w:b/>
        </w:rPr>
        <w:t xml:space="preserve"> </w:t>
      </w:r>
      <w:r>
        <w:rPr>
          <w:bCs/>
          <w:b/>
        </w:rPr>
        <w:t xml:space="preserve">your cardiovascular system.</w:t>
      </w:r>
    </w:p>
    <w:bookmarkEnd w:id="29"/>
    <w:bookmarkStart w:id="30" w:name="the-correct-sequencing"/>
    <w:p>
      <w:pPr>
        <w:pStyle w:val="Heading2"/>
      </w:pPr>
      <w:r>
        <w:t xml:space="preserve">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 {.striped .hover}</w:t>
      </w:r>
    </w:p>
    <w:tbl>
      <w:tblPr>
        <w:tblStyle w:val="Table"/>
        <w:tblW w:type="pct" w:w="5000"/>
        <w:tblLook w:firstRow="1" w:lastRow="0" w:firstColumn="0" w:lastColumn="0" w:noHBand="0" w:noVBand="0" w:val="0020"/>
        <w:jc w:val="start"/>
        <w:tblCaption w:val="AAN Modernization Sequence — Architecture Before Assessment {.striped .hover}"/>
      </w:tblPr>
      <w:tblGrid>
        <w:gridCol w:w="2132"/>
        <w:gridCol w:w="3046"/>
        <w:gridCol w:w="2741"/>
      </w:tblGrid>
      <w:tr>
        <w:trPr>
          <w:tblHeader w:val="true"/>
        </w:trPr>
        <w:tc>
          <w:tcPr/>
          <w:p>
            <w:pPr>
              <w:pStyle w:val="Compact"/>
              <w:jc w:val="left"/>
            </w:pPr>
            <w:r>
              <w:t xml:space="preserve">Phase</w:t>
            </w:r>
          </w:p>
        </w:tc>
        <w:tc>
          <w:tcPr/>
          <w:p>
            <w:pPr>
              <w:pStyle w:val="Compact"/>
              <w:jc w:val="left"/>
            </w:pPr>
            <w:r>
              <w:t xml:space="preserve">Activity</w:t>
            </w:r>
          </w:p>
        </w:tc>
        <w:tc>
          <w:tcPr/>
          <w:p>
            <w:pPr>
              <w:pStyle w:val="Compact"/>
              <w:jc w:val="left"/>
            </w:pPr>
            <w:r>
              <w:t xml:space="preserve">Tooling</w:t>
            </w:r>
          </w:p>
        </w:tc>
      </w:tr>
      <w:tr>
        <w:tc>
          <w:tcPr/>
          <w:p>
            <w:pPr>
              <w:pStyle w:val="Compact"/>
              <w:jc w:val="left"/>
            </w:pPr>
            <w:r>
              <w:rPr>
                <w:bCs/>
                <w:b/>
              </w:rPr>
              <w:t xml:space="preserve">1 — Understand</w:t>
            </w:r>
          </w:p>
        </w:tc>
        <w:tc>
          <w:tcPr/>
          <w:p>
            <w:pPr>
              <w:pStyle w:val="Compact"/>
              <w:jc w:val="left"/>
            </w:pPr>
            <w:r>
              <w:t xml:space="preserve">Identify control gaps and their architectural root causes</w:t>
            </w:r>
          </w:p>
        </w:tc>
        <w:tc>
          <w:tcPr/>
          <w:p>
            <w:pPr>
              <w:pStyle w:val="Compact"/>
              <w:jc w:val="left"/>
            </w:pPr>
            <w:r>
              <w:t xml:space="preserve">This series — Books 00–17</w:t>
            </w:r>
          </w:p>
        </w:tc>
      </w:tr>
      <w:tr>
        <w:tc>
          <w:tcPr/>
          <w:p>
            <w:pPr>
              <w:pStyle w:val="Compact"/>
              <w:jc w:val="left"/>
            </w:pPr>
            <w:r>
              <w:rPr>
                <w:bCs/>
                <w:b/>
              </w:rPr>
              <w:t xml:space="preserve">2 — Design</w:t>
            </w:r>
          </w:p>
        </w:tc>
        <w:tc>
          <w:tcPr/>
          <w:p>
            <w:pPr>
              <w:pStyle w:val="Compact"/>
              <w:jc w:val="left"/>
            </w:pPr>
            <w:r>
              <w:t xml:space="preserve">Select the architectural pattern that closes each gap with continuous evidence</w:t>
            </w:r>
          </w:p>
        </w:tc>
        <w:tc>
          <w:tcPr/>
          <w:p>
            <w:pPr>
              <w:pStyle w:val="Compact"/>
              <w:jc w:val="left"/>
            </w:pPr>
            <w:r>
              <w:t xml:space="preserve">This series — domain books 01–14</w:t>
            </w:r>
          </w:p>
        </w:tc>
      </w:tr>
      <w:tr>
        <w:tc>
          <w:tcPr/>
          <w:p>
            <w:pPr>
              <w:pStyle w:val="Compact"/>
              <w:jc w:val="left"/>
            </w:pPr>
            <w:r>
              <w:rPr>
                <w:bCs/>
                <w:b/>
              </w:rPr>
              <w:t xml:space="preserve">3 — Implement</w:t>
            </w:r>
          </w:p>
        </w:tc>
        <w:tc>
          <w:tcPr/>
          <w:p>
            <w:pPr>
              <w:pStyle w:val="Compact"/>
              <w:jc w:val="left"/>
            </w:pPr>
            <w:r>
              <w:t xml:space="preserve">Execute the runbooks, deploy the infrastructure, configure the integrations</w:t>
            </w:r>
          </w:p>
        </w:tc>
        <w:tc>
          <w:tcPr/>
          <w:p>
            <w:pPr>
              <w:pStyle w:val="Compact"/>
              <w:jc w:val="left"/>
            </w:pPr>
            <w:r>
              <w:t xml:space="preserve">This series — Part 8 (SQL), domain books</w:t>
            </w:r>
          </w:p>
        </w:tc>
      </w:tr>
      <w:tr>
        <w:tc>
          <w:tcPr/>
          <w:p>
            <w:pPr>
              <w:pStyle w:val="Compact"/>
              <w:jc w:val="left"/>
            </w:pPr>
            <w:r>
              <w:rPr>
                <w:bCs/>
                <w:b/>
              </w:rPr>
              <w:t xml:space="preserve">4 — Govern</w:t>
            </w:r>
          </w:p>
        </w:tc>
        <w:tc>
          <w:tcPr/>
          <w:p>
            <w:pPr>
              <w:pStyle w:val="Compact"/>
              <w:jc w:val="left"/>
            </w:pPr>
            <w:r>
              <w:t xml:space="preserve">Establish SCRM, POA&amp;M, ISPP, and RACI structures</w:t>
            </w:r>
          </w:p>
        </w:tc>
        <w:tc>
          <w:tcPr/>
          <w:p>
            <w:pPr>
              <w:pStyle w:val="Compact"/>
              <w:jc w:val="left"/>
            </w:pPr>
            <w:r>
              <w:t xml:space="preserve">This series — Books 15–17</w:t>
            </w:r>
          </w:p>
        </w:tc>
      </w:tr>
      <w:tr>
        <w:tc>
          <w:tcPr/>
          <w:p>
            <w:pPr>
              <w:pStyle w:val="Compact"/>
              <w:jc w:val="left"/>
            </w:pPr>
            <w:r>
              <w:rPr>
                <w:bCs/>
                <w:b/>
              </w:rPr>
              <w:t xml:space="preserve">5 — Validate</w:t>
            </w:r>
          </w:p>
        </w:tc>
        <w:tc>
          <w:tcPr/>
          <w:p>
            <w:pPr>
              <w:pStyle w:val="Compact"/>
              <w:jc w:val="left"/>
            </w:pPr>
            <w:r>
              <w:t xml:space="preserve">Run SCuBA, ZTTT, Secure Score — now as a confirmation, not a discovery exercise</w:t>
            </w:r>
          </w:p>
        </w:tc>
        <w:tc>
          <w:tcPr/>
          <w:p>
            <w:pPr>
              <w:pStyle w:val="Compact"/>
              <w:jc w:val="left"/>
            </w:pPr>
            <w:r>
              <w:t xml:space="preserve">SCuBA · ZTTT · Microsoft Secure Score</w:t>
            </w:r>
          </w:p>
        </w:tc>
      </w:tr>
      <w:tr>
        <w:tc>
          <w:tcPr/>
          <w:p>
            <w:pPr>
              <w:pStyle w:val="Compact"/>
              <w:jc w:val="left"/>
            </w:pPr>
            <w:r>
              <w:rPr>
                <w:bCs/>
                <w:b/>
              </w:rPr>
              <w:t xml:space="preserve">6 — Authorize</w:t>
            </w:r>
          </w:p>
        </w:tc>
        <w:tc>
          <w:tcPr/>
          <w:p>
            <w:pPr>
              <w:pStyle w:val="Compact"/>
              <w:jc w:val="left"/>
            </w:pPr>
            <w:r>
              <w:t xml:space="preserve">Submit KSI-ready machine-readable evidence to FedRAMP 20x evaluators</w:t>
            </w:r>
          </w:p>
        </w:tc>
        <w:tc>
          <w:tcPr/>
          <w:p>
            <w:pPr>
              <w:pStyle w:val="Compact"/>
              <w:jc w:val="lef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30"/>
    <w:bookmarkStart w:id="31" w:name="Xbeccda7f0395df87220c304250d30fffcfba132"/>
    <w:p>
      <w:pPr>
        <w:pStyle w:val="Heading2"/>
      </w:pPr>
      <w:r>
        <w:t xml:space="preserve">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p>
      <w:pPr>
        <w:pStyle w:val="BodyText"/>
      </w:pPr>
      <w:r>
        <w:t xml:space="preserve">Federal compliance, however, does not live on a single vendor’s surface. The</w:t>
      </w:r>
      <w:r>
        <w:t xml:space="preserve"> </w:t>
      </w:r>
      <w:r>
        <w:t xml:space="preserve">34 NIST SP 800-53 controls closed by this series span:</w:t>
      </w:r>
    </w:p>
    <w:p>
      <w:pPr>
        <w:numPr>
          <w:ilvl w:val="0"/>
          <w:numId w:val="1007"/>
        </w:numPr>
        <w:pStyle w:val="Compact"/>
      </w:pPr>
      <w:r>
        <w:rPr>
          <w:bCs/>
          <w:b/>
        </w:rPr>
        <w:t xml:space="preserve">Network layer</w:t>
      </w:r>
      <w:r>
        <w:t xml:space="preserve"> </w:t>
      </w:r>
      <w:r>
        <w:t xml:space="preserve">— DDI, DNS, DHCP, IPAM, DNSSEC, RPZ (InfoBlox)</w:t>
      </w:r>
    </w:p>
    <w:p>
      <w:pPr>
        <w:numPr>
          <w:ilvl w:val="0"/>
          <w:numId w:val="1007"/>
        </w:numPr>
        <w:pStyle w:val="Compact"/>
      </w:pPr>
      <w:r>
        <w:rPr>
          <w:bCs/>
          <w:b/>
        </w:rPr>
        <w:t xml:space="preserve">Transport layer</w:t>
      </w:r>
      <w:r>
        <w:t xml:space="preserve"> </w:t>
      </w:r>
      <w:r>
        <w:t xml:space="preserve">— IPsec overlays, SD-WAN QoS, DIA vs. SASE path selection</w:t>
      </w:r>
    </w:p>
    <w:p>
      <w:pPr>
        <w:numPr>
          <w:ilvl w:val="0"/>
          <w:numId w:val="1007"/>
        </w:numPr>
        <w:pStyle w:val="Compact"/>
      </w:pPr>
      <w:r>
        <w:rPr>
          <w:bCs/>
          <w:b/>
        </w:rPr>
        <w:t xml:space="preserve">Application layer</w:t>
      </w:r>
      <w:r>
        <w:t xml:space="preserve"> </w:t>
      </w:r>
      <w:r>
        <w:t xml:space="preserve">— CASB, SWG, FWaaS, SSL inspection (SASE stack)</w:t>
      </w:r>
    </w:p>
    <w:p>
      <w:pPr>
        <w:numPr>
          <w:ilvl w:val="0"/>
          <w:numId w:val="1007"/>
        </w:numPr>
        <w:pStyle w:val="Compact"/>
      </w:pPr>
      <w:r>
        <w:rPr>
          <w:bCs/>
          <w:b/>
        </w:rPr>
        <w:t xml:space="preserve">Identity layer</w:t>
      </w:r>
      <w:r>
        <w:t xml:space="preserve"> </w:t>
      </w:r>
      <w:r>
        <w:t xml:space="preserve">— Entra ID, Conditional Access, Arc Managed Identity, NTLM elimination</w:t>
      </w:r>
    </w:p>
    <w:p>
      <w:pPr>
        <w:numPr>
          <w:ilvl w:val="0"/>
          <w:numId w:val="1007"/>
        </w:numPr>
        <w:pStyle w:val="Compact"/>
      </w:pPr>
      <w:r>
        <w:rPr>
          <w:bCs/>
          <w:b/>
        </w:rPr>
        <w:t xml:space="preserve">Data layer</w:t>
      </w:r>
      <w:r>
        <w:t xml:space="preserve"> </w:t>
      </w:r>
      <w:r>
        <w:t xml:space="preserve">— SQL Server, TDE, consistency classes, replication physics</w:t>
      </w:r>
    </w:p>
    <w:p>
      <w:pPr>
        <w:numPr>
          <w:ilvl w:val="0"/>
          <w:numId w:val="1007"/>
        </w:numPr>
        <w:pStyle w:val="Compact"/>
      </w:pPr>
      <w:r>
        <w:rPr>
          <w:bCs/>
          <w:b/>
        </w:rPr>
        <w:t xml:space="preserve">Operations layer</w:t>
      </w:r>
      <w:r>
        <w:t xml:space="preserve"> </w:t>
      </w:r>
      <w:r>
        <w:t xml:space="preserve">— Sentinel, Defender XDR, KQL, Logic App playbooks</w:t>
      </w:r>
    </w:p>
    <w:p>
      <w:pPr>
        <w:numPr>
          <w:ilvl w:val="0"/>
          <w:numId w:val="1007"/>
        </w:numPr>
        <w:pStyle w:val="Compact"/>
      </w:pPr>
      <w:r>
        <w:rPr>
          <w:bCs/>
          <w:b/>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Cs/>
          <w:b/>
        </w:rPr>
        <w:t xml:space="preserve">An agency that relies solely on SCuBA or ZTTT has assessed one part of the</w:t>
      </w:r>
      <w:r>
        <w:rPr>
          <w:bCs/>
          <w:b/>
        </w:rPr>
        <w:t xml:space="preserve"> </w:t>
      </w:r>
      <w:r>
        <w:rPr>
          <w:bCs/>
          <w:b/>
        </w:rPr>
        <w:t xml:space="preserve">surface and left the rest unmeasured and undefended.</w:t>
      </w:r>
    </w:p>
    <w:bookmarkEnd w:id="31"/>
    <w:bookmarkStart w:id="32" w:name="the-role-of-this-series"/>
    <w:p>
      <w:pPr>
        <w:pStyle w:val="Heading2"/>
      </w:pPr>
      <w:r>
        <w:t xml:space="preserve">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numPr>
          <w:ilvl w:val="0"/>
          <w:numId w:val="1008"/>
        </w:numPr>
        <w:pStyle w:val="Compact"/>
      </w:pPr>
      <w:r>
        <w:rPr>
          <w:bCs/>
          <w:b/>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numPr>
          <w:ilvl w:val="0"/>
          <w:numId w:val="1008"/>
        </w:numPr>
        <w:pStyle w:val="Compact"/>
      </w:pPr>
      <w:r>
        <w:rPr>
          <w:bCs/>
          <w:b/>
        </w:rPr>
        <w:t xml:space="preserve">What</w:t>
      </w:r>
      <w:r>
        <w:t xml:space="preserve"> </w:t>
      </w:r>
      <w:r>
        <w:t xml:space="preserve">architectural patterns close each control family with continuously-</w:t>
      </w:r>
      <w:r>
        <w:t xml:space="preserve"> </w:t>
      </w:r>
      <w:r>
        <w:t xml:space="preserve">generated, machine-readable evidence</w:t>
      </w:r>
    </w:p>
    <w:p>
      <w:pPr>
        <w:numPr>
          <w:ilvl w:val="0"/>
          <w:numId w:val="1008"/>
        </w:numPr>
        <w:pStyle w:val="Compact"/>
      </w:pPr>
      <w:r>
        <w:rPr>
          <w:bCs/>
          <w:b/>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numPr>
          <w:ilvl w:val="0"/>
          <w:numId w:val="1008"/>
        </w:numPr>
        <w:pStyle w:val="Compact"/>
      </w:pPr>
      <w:r>
        <w:rPr>
          <w:bCs/>
          <w:b/>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Cs/>
          <w:b/>
        </w:rPr>
        <w:t xml:space="preserve">the final proof, not the starting point.</w:t>
      </w:r>
    </w:p>
    <w:bookmarkEnd w:id="32"/>
    <w:bookmarkStart w:id="33" w:name="the-coverage-arithmetic-10-of-29"/>
    <w:p>
      <w:pPr>
        <w:pStyle w:val="Heading2"/>
      </w:pPr>
      <w:r>
        <w:t xml:space="preserve">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numPr>
          <w:ilvl w:val="0"/>
          <w:numId w:val="1009"/>
        </w:numPr>
        <w:pStyle w:val="Compact"/>
      </w:pPr>
      <w:r>
        <w:rPr>
          <w:bCs/>
          <w:b/>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Cs/>
          <w:b/>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numPr>
          <w:ilvl w:val="0"/>
          <w:numId w:val="1009"/>
        </w:numPr>
        <w:pStyle w:val="Compact"/>
      </w:pPr>
      <w:r>
        <w:rPr>
          <w:bCs/>
          <w:b/>
        </w:rPr>
        <w:t xml:space="preserve">The other 19 rules bind to evidence slots that exist only because the</w:t>
      </w:r>
      <w:r>
        <w:rPr>
          <w:bCs/>
          <w:b/>
        </w:rPr>
        <w:t xml:space="preserve"> </w:t>
      </w:r>
      <w:r>
        <w:rPr>
          <w:bCs/>
          <w:b/>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Cs/>
          <w:b/>
        </w:rPr>
        <w:t xml:space="preserve">measures drift from an intended state; it cannot author</w:t>
      </w:r>
      <w:r>
        <w:rPr>
          <w:bCs/>
          <w:b/>
        </w:rPr>
        <w:t xml:space="preserve"> </w:t>
      </w:r>
      <w:r>
        <w:rPr>
          <w:bCs/>
          <w:b/>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w:t>
      </w:r>
      <w:r>
        <w:t xml:space="preserve">run SCuBA and the Zero Trust toolkit</w:t>
      </w:r>
      <w:r>
        <w:t xml:space="preserve">”</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33"/>
    <w:bookmarkEnd w:id="34"/>
    <w:bookmarkStart w:id="35" w:name="the-ksi-closure-necessity-matrix"/>
    <w:p>
      <w:pPr>
        <w:pStyle w:val="Heading1"/>
      </w:pPr>
      <w:r>
        <w:t xml:space="preserve">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 {.striped .hover}</w:t>
      </w:r>
    </w:p>
    <w:tbl>
      <w:tblPr>
        <w:tblStyle w:val="Table"/>
        <w:tblW w:type="pct" w:w="5000"/>
        <w:tblLook w:firstRow="1" w:lastRow="0" w:firstColumn="0" w:lastColumn="0" w:noHBand="0" w:noVBand="0" w:val="0020"/>
        <w:jc w:val="start"/>
        <w:tblCaption w:val="KSI Closure Necessity Matrix — 29 CR26 Rules {.striped .hover}"/>
      </w:tblPr>
      <w:tblGrid>
        <w:gridCol w:w="1320"/>
        <w:gridCol w:w="1320"/>
        <w:gridCol w:w="1320"/>
        <w:gridCol w:w="1320"/>
        <w:gridCol w:w="1320"/>
        <w:gridCol w:w="1320"/>
      </w:tblGrid>
      <w:tr>
        <w:trPr>
          <w:tblHeader w:val="true"/>
        </w:trPr>
        <w:tc>
          <w:tcPr/>
          <w:p>
            <w:pPr>
              <w:pStyle w:val="Compact"/>
              <w:jc w:val="left"/>
            </w:pPr>
            <w:r>
              <w:t xml:space="preserve">KSI rules</w:t>
            </w:r>
          </w:p>
        </w:tc>
        <w:tc>
          <w:tcPr/>
          <w:p>
            <w:pPr>
              <w:pStyle w:val="Compact"/>
              <w:jc w:val="left"/>
            </w:pPr>
            <w:r>
              <w:t xml:space="preserve">Theme</w:t>
            </w:r>
          </w:p>
        </w:tc>
        <w:tc>
          <w:tcPr/>
          <w:p>
            <w:pPr>
              <w:pStyle w:val="Compact"/>
              <w:jc w:val="left"/>
            </w:pPr>
            <w:r>
              <w:t xml:space="preserve">What closes it</w:t>
            </w:r>
          </w:p>
        </w:tc>
        <w:tc>
          <w:tcPr/>
          <w:p>
            <w:pPr>
              <w:pStyle w:val="Compact"/>
              <w:jc w:val="left"/>
            </w:pPr>
            <w:r>
              <w:t xml:space="preserve">Attestable by conformance tooling alone?</w:t>
            </w:r>
          </w:p>
        </w:tc>
        <w:tc>
          <w:tcPr/>
          <w:p>
            <w:pPr>
              <w:pStyle w:val="Compact"/>
              <w:jc w:val="left"/>
            </w:pPr>
            <w:r>
              <w:t xml:space="preserve">Evidence slot</w:t>
            </w:r>
          </w:p>
        </w:tc>
        <w:tc>
          <w:tcPr/>
          <w:p>
            <w:pPr>
              <w:pStyle w:val="Compact"/>
              <w:jc w:val="left"/>
            </w:pPr>
            <w:r>
              <w:t xml:space="preserve">Series part</w:t>
            </w:r>
          </w:p>
        </w:tc>
      </w:tr>
      <w:tr>
        <w:tc>
          <w:tcPr/>
          <w:p>
            <w:pPr>
              <w:pStyle w:val="Compact"/>
              <w:jc w:val="left"/>
            </w:pPr>
            <w:r>
              <w:t xml:space="preserve">KSI-001..010 (10)</w:t>
            </w:r>
          </w:p>
        </w:tc>
        <w:tc>
          <w:tcPr/>
          <w:p>
            <w:pPr>
              <w:pStyle w:val="Compact"/>
              <w:jc w:val="left"/>
            </w:pPr>
            <w:r>
              <w:t xml:space="preserve">M365 baseline (IAM/MLA/CNA/SVC configuration surface)</w:t>
            </w:r>
          </w:p>
        </w:tc>
        <w:tc>
          <w:tcPr/>
          <w:p>
            <w:pPr>
              <w:pStyle w:val="Compact"/>
              <w:jc w:val="left"/>
            </w:pPr>
            <w:r>
              <w:t xml:space="preserve">Microsoft 365 GCC tenant configuration against the CISA SCuBA baseline, drift- and exception-gated by ScubaDrift</w:t>
            </w:r>
          </w:p>
        </w:tc>
        <w:tc>
          <w:tcPr/>
          <w:p>
            <w:pPr>
              <w:pStyle w:val="Compact"/>
              <w:jc w:val="left"/>
            </w:pPr>
            <w:r>
              <w:rPr>
                <w:bCs/>
                <w:b/>
              </w:rPr>
              <w:t xml:space="preserve">Yes — ScuBAGear + ScubaDrift dispositions</w:t>
            </w:r>
          </w:p>
        </w:tc>
        <w:tc>
          <w:tcPr/>
          <w:p>
            <w:pPr>
              <w:pStyle w:val="Compact"/>
              <w:jc w:val="left"/>
            </w:pPr>
            <w:r>
              <w:t xml:space="preserve">ScuBA adapter (no slot binding)</w:t>
            </w:r>
          </w:p>
        </w:tc>
        <w:tc>
          <w:tcPr/>
          <w:p>
            <w:pPr>
              <w:pStyle w:val="Compact"/>
              <w:jc w:val="left"/>
            </w:pPr>
            <w:r>
              <w:t xml:space="preserve">Validation phase (after Parts 1–6 make the baseline the natural steady state)</w:t>
            </w:r>
          </w:p>
        </w:tc>
      </w:tr>
      <w:tr>
        <w:tc>
          <w:tcPr/>
          <w:p>
            <w:pPr>
              <w:pStyle w:val="Compact"/>
              <w:jc w:val="left"/>
            </w:pPr>
            <w:r>
              <w:t xml:space="preserve">KSI-011..014 (4)</w:t>
            </w:r>
          </w:p>
        </w:tc>
        <w:tc>
          <w:tcPr/>
          <w:p>
            <w:pPr>
              <w:pStyle w:val="Compact"/>
              <w:jc w:val="left"/>
            </w:pPr>
            <w:r>
              <w:t xml:space="preserve">SCR — VDR/VER contract</w:t>
            </w:r>
          </w:p>
        </w:tc>
        <w:tc>
          <w:tcPr/>
          <w:p>
            <w:pPr>
              <w:pStyle w:val="Compact"/>
              <w:jc w:val="left"/>
            </w:pPr>
            <w:r>
              <w:t xml:space="preserve">SBOM/VDR/VEX pipeline (Syft, Grype, OpenVEX) under BOD 26-04</w:t>
            </w:r>
          </w:p>
        </w:tc>
        <w:tc>
          <w:tcPr/>
          <w:p>
            <w:pPr>
              <w:pStyle w:val="Compact"/>
              <w:jc w:val="left"/>
            </w:pPr>
            <w:r>
              <w:t xml:space="preserve">No</w:t>
            </w:r>
          </w:p>
        </w:tc>
        <w:tc>
          <w:tcPr/>
          <w:p>
            <w:pPr>
              <w:pStyle w:val="Compact"/>
              <w:jc w:val="left"/>
            </w:pPr>
            <w:r>
              <w:t xml:space="preserve">slot-06 security</w:t>
            </w:r>
          </w:p>
        </w:tc>
        <w:tc>
          <w:tcPr/>
          <w:p>
            <w:pPr>
              <w:pStyle w:val="Compact"/>
              <w:jc w:val="left"/>
            </w:pPr>
            <w:r>
              <w:t xml:space="preserve">Part 15</w:t>
            </w:r>
          </w:p>
        </w:tc>
      </w:tr>
      <w:tr>
        <w:tc>
          <w:tcPr/>
          <w:p>
            <w:pPr>
              <w:pStyle w:val="Compact"/>
              <w:jc w:val="left"/>
            </w:pPr>
            <w:r>
              <w:t xml:space="preserve">KSI-015..016 (2)</w:t>
            </w:r>
          </w:p>
        </w:tc>
        <w:tc>
          <w:tcPr/>
          <w:p>
            <w:pPr>
              <w:pStyle w:val="Compact"/>
              <w:jc w:val="left"/>
            </w:pPr>
            <w:r>
              <w:t xml:space="preserve">SCR-MIT / SCR-MON</w:t>
            </w:r>
          </w:p>
        </w:tc>
        <w:tc>
          <w:tcPr/>
          <w:p>
            <w:pPr>
              <w:pStyle w:val="Compact"/>
              <w:jc w:val="left"/>
            </w:pPr>
            <w:r>
              <w:t xml:space="preserve">SCRM charter + continuous supply-chain monitoring</w:t>
            </w:r>
          </w:p>
        </w:tc>
        <w:tc>
          <w:tcPr/>
          <w:p>
            <w:pPr>
              <w:pStyle w:val="Compact"/>
              <w:jc w:val="left"/>
            </w:pPr>
            <w:r>
              <w:t xml:space="preserve">No</w:t>
            </w:r>
          </w:p>
        </w:tc>
        <w:tc>
          <w:tcPr/>
          <w:p>
            <w:pPr>
              <w:pStyle w:val="Compact"/>
              <w:jc w:val="left"/>
            </w:pPr>
            <w:r>
              <w:t xml:space="preserve">slot-06 security</w:t>
            </w:r>
          </w:p>
        </w:tc>
        <w:tc>
          <w:tcPr/>
          <w:p>
            <w:pPr>
              <w:pStyle w:val="Compact"/>
              <w:jc w:val="left"/>
            </w:pPr>
            <w:r>
              <w:t xml:space="preserve">Parts 15–16</w:t>
            </w:r>
          </w:p>
        </w:tc>
      </w:tr>
      <w:tr>
        <w:tc>
          <w:tcPr/>
          <w:p>
            <w:pPr>
              <w:pStyle w:val="Compact"/>
              <w:jc w:val="left"/>
            </w:pPr>
            <w:r>
              <w:t xml:space="preserve">KSI-017..021 (5)</w:t>
            </w:r>
          </w:p>
        </w:tc>
        <w:tc>
          <w:tcPr/>
          <w:p>
            <w:pPr>
              <w:pStyle w:val="Compact"/>
              <w:jc w:val="left"/>
            </w:pPr>
            <w:r>
              <w:t xml:space="preserve">PIY (GIV/RES/RIS/RSD/RVD)</w:t>
            </w:r>
          </w:p>
        </w:tc>
        <w:tc>
          <w:tcPr/>
          <w:p>
            <w:pPr>
              <w:pStyle w:val="Compact"/>
              <w:jc w:val="left"/>
            </w:pPr>
            <w:r>
              <w:t xml:space="preserve">Privacy program, PII data-flow maps, Purview Data Map integration</w:t>
            </w:r>
          </w:p>
        </w:tc>
        <w:tc>
          <w:tcPr/>
          <w:p>
            <w:pPr>
              <w:pStyle w:val="Compact"/>
              <w:jc w:val="left"/>
            </w:pPr>
            <w:r>
              <w:t xml:space="preserve">No</w:t>
            </w:r>
          </w:p>
        </w:tc>
        <w:tc>
          <w:tcPr/>
          <w:p>
            <w:pPr>
              <w:pStyle w:val="Compact"/>
              <w:jc w:val="left"/>
            </w:pPr>
            <w:r>
              <w:t xml:space="preserve">slot-05 endpoint</w:t>
            </w:r>
          </w:p>
        </w:tc>
        <w:tc>
          <w:tcPr/>
          <w:p>
            <w:pPr>
              <w:pStyle w:val="Compact"/>
              <w:jc w:val="left"/>
            </w:pPr>
            <w:r>
              <w:t xml:space="preserve">Part 17</w:t>
            </w:r>
          </w:p>
        </w:tc>
      </w:tr>
      <w:tr>
        <w:tc>
          <w:tcPr/>
          <w:p>
            <w:pPr>
              <w:pStyle w:val="Compact"/>
              <w:jc w:val="left"/>
            </w:pPr>
            <w:r>
              <w:t xml:space="preserve">KSI-022 (1)</w:t>
            </w:r>
          </w:p>
        </w:tc>
        <w:tc>
          <w:tcPr/>
          <w:p>
            <w:pPr>
              <w:pStyle w:val="Compact"/>
              <w:jc w:val="left"/>
            </w:pPr>
            <w:r>
              <w:t xml:space="preserve">CED-RAT</w:t>
            </w:r>
          </w:p>
        </w:tc>
        <w:tc>
          <w:tcPr/>
          <w:p>
            <w:pPr>
              <w:pStyle w:val="Compact"/>
              <w:jc w:val="left"/>
            </w:pPr>
            <w:r>
              <w:t xml:space="preserve">Machine-readable training-effectiveness record (LMS → Graph API export)</w:t>
            </w:r>
          </w:p>
        </w:tc>
        <w:tc>
          <w:tcPr/>
          <w:p>
            <w:pPr>
              <w:pStyle w:val="Compact"/>
              <w:jc w:val="left"/>
            </w:pPr>
            <w:r>
              <w:t xml:space="preserve">No</w:t>
            </w:r>
          </w:p>
        </w:tc>
        <w:tc>
          <w:tcPr/>
          <w:p>
            <w:pPr>
              <w:pStyle w:val="Compact"/>
              <w:jc w:val="left"/>
            </w:pPr>
            <w:r>
              <w:t xml:space="preserve">slot-08 training</w:t>
            </w:r>
          </w:p>
        </w:tc>
        <w:tc>
          <w:tcPr/>
          <w:p>
            <w:pPr>
              <w:pStyle w:val="Compact"/>
              <w:jc w:val="left"/>
            </w:pPr>
            <w:r>
              <w:t xml:space="preserve">Part 18</w:t>
            </w:r>
          </w:p>
        </w:tc>
      </w:tr>
      <w:tr>
        <w:tc>
          <w:tcPr/>
          <w:p>
            <w:pPr>
              <w:pStyle w:val="Compact"/>
              <w:jc w:val="left"/>
            </w:pPr>
            <w:r>
              <w:t xml:space="preserve">KSI-023..029 (7)</w:t>
            </w:r>
          </w:p>
        </w:tc>
        <w:tc>
          <w:tcPr/>
          <w:p>
            <w:pPr>
              <w:pStyle w:val="Compact"/>
              <w:jc w:val="left"/>
            </w:pPr>
            <w:r>
              <w:t xml:space="preserve">CED / INR / RPL</w:t>
            </w:r>
          </w:p>
        </w:tc>
        <w:tc>
          <w:tcPr/>
          <w:p>
            <w:pPr>
              <w:pStyle w:val="Compact"/>
              <w:jc w:val="left"/>
            </w:pPr>
            <w:r>
              <w:t xml:space="preserve">Sentinel/XDR incident playbooks + DR/continuity architecture</w:t>
            </w:r>
          </w:p>
        </w:tc>
        <w:tc>
          <w:tcPr/>
          <w:p>
            <w:pPr>
              <w:pStyle w:val="Compact"/>
              <w:jc w:val="left"/>
            </w:pPr>
            <w:r>
              <w:t xml:space="preserve">No</w:t>
            </w:r>
          </w:p>
        </w:tc>
        <w:tc>
          <w:tcPr/>
          <w:p>
            <w:pPr>
              <w:pStyle w:val="Compact"/>
              <w:jc w:val="left"/>
            </w:pPr>
            <w:r>
              <w:t xml:space="preserve">slot-07 continuity, slot-04 telemetry</w:t>
            </w:r>
          </w:p>
        </w:tc>
        <w:tc>
          <w:tcPr/>
          <w:p>
            <w:pPr>
              <w:pStyle w:val="Compact"/>
              <w:jc w:val="left"/>
            </w:pPr>
            <w:r>
              <w:t xml:space="preserve">Parts 13–14</w:t>
            </w:r>
          </w:p>
        </w:tc>
      </w:tr>
    </w:tbl>
    <w:p>
      <w:pPr>
        <w:pStyle w:val="BodyText"/>
      </w:pPr>
      <w:r>
        <w:rPr>
          <w:bCs/>
          <w:b/>
        </w:rPr>
        <w:t xml:space="preserve">Bottom line: 10 of 29 rules are attestable by conformance tooling alone; 19</w:t>
      </w:r>
      <w:r>
        <w:rPr>
          <w:bCs/>
          <w:b/>
        </w:rPr>
        <w:t xml:space="preserve"> </w:t>
      </w:r>
      <w:r>
        <w:rPr>
          <w:bCs/>
          <w:b/>
        </w:rPr>
        <w:t xml:space="preserve">of 29 exist as evaluable rules only because the series built the evidence</w:t>
      </w:r>
      <w:r>
        <w:rPr>
          <w:bCs/>
          <w:b/>
        </w:rPr>
        <w:t xml:space="preserve"> </w:t>
      </w:r>
      <w:r>
        <w:rPr>
          <w:bCs/>
          <w:b/>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35"/>
    <w:bookmarkStart w:id="36" w:name="Xd8412075ae72a1334f7aea052d8fa68fa2dbbc2"/>
    <w:p>
      <w:pPr>
        <w:pStyle w:val="Heading1"/>
      </w:pPr>
      <w:r>
        <w:t xml:space="preserve">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 {.striped .hover}</w:t>
      </w:r>
    </w:p>
    <w:tbl>
      <w:tblPr>
        <w:tblStyle w:val="Table"/>
        <w:tblW w:type="pct" w:w="5000"/>
        <w:tblLook w:firstRow="1" w:lastRow="0" w:firstColumn="0" w:lastColumn="0" w:noHBand="0" w:noVBand="0" w:val="0020"/>
        <w:jc w:val="start"/>
        <w:tblCaption w:val="Expected POA&amp;M Items Under Current Architecture and the Technology That Closes Each {.striped .hover}"/>
      </w:tblPr>
      <w:tblGrid>
        <w:gridCol w:w="1980"/>
        <w:gridCol w:w="1980"/>
        <w:gridCol w:w="1980"/>
        <w:gridCol w:w="1980"/>
      </w:tblGrid>
      <w:tr>
        <w:trPr>
          <w:tblHeader w:val="true"/>
        </w:trPr>
        <w:tc>
          <w:tcPr/>
          <w:p>
            <w:pPr>
              <w:pStyle w:val="Compact"/>
              <w:jc w:val="left"/>
            </w:pPr>
            <w:r>
              <w:t xml:space="preserve">Expected Finding</w:t>
            </w:r>
          </w:p>
        </w:tc>
        <w:tc>
          <w:tcPr/>
          <w:p>
            <w:pPr>
              <w:pStyle w:val="Compact"/>
              <w:jc w:val="left"/>
            </w:pPr>
            <w:r>
              <w:t xml:space="preserve">Assessment Condition</w:t>
            </w:r>
          </w:p>
        </w:tc>
        <w:tc>
          <w:tcPr/>
          <w:p>
            <w:pPr>
              <w:pStyle w:val="Compact"/>
              <w:jc w:val="left"/>
            </w:pPr>
            <w:r>
              <w:t xml:space="preserve">Root Cause</w:t>
            </w:r>
          </w:p>
        </w:tc>
        <w:tc>
          <w:tcPr/>
          <w:p>
            <w:pPr>
              <w:pStyle w:val="Compact"/>
              <w:jc w:val="left"/>
            </w:pPr>
            <w:r>
              <w:t xml:space="preserve">Closed By</w:t>
            </w:r>
          </w:p>
        </w:tc>
      </w:tr>
      <w:tr>
        <w:tc>
          <w:tcPr/>
          <w:p>
            <w:pPr>
              <w:pStyle w:val="Compact"/>
              <w:jc w:val="left"/>
            </w:pPr>
            <w:r>
              <w:rPr>
                <w:bCs/>
                <w:b/>
              </w:rPr>
              <w:t xml:space="preserve">CM-8: Component inventory incomplete</w:t>
            </w:r>
          </w:p>
        </w:tc>
        <w:tc>
          <w:tcPr/>
          <w:p>
            <w:pPr>
              <w:pStyle w:val="Compact"/>
              <w:jc w:val="left"/>
            </w:pPr>
            <w:r>
              <w:t xml:space="preserve">IP inventory assembled manually per environment; no continuous discovery; VM additions not captured at provisioning; four separate CMDB feeds with inconsistent update cycles</w:t>
            </w:r>
          </w:p>
        </w:tc>
        <w:tc>
          <w:tcPr/>
          <w:p>
            <w:pPr>
              <w:pStyle w:val="Compact"/>
              <w:jc w:val="left"/>
            </w:pPr>
            <w:r>
              <w:t xml:space="preserve">No unified IP Address Management system; inventory diverges from actual state between scans</w:t>
            </w:r>
          </w:p>
        </w:tc>
        <w:tc>
          <w:tcPr/>
          <w:p>
            <w:pPr>
              <w:pStyle w:val="Compact"/>
              <w:jc w:val="left"/>
            </w:pPr>
            <w:r>
              <w:t xml:space="preserve">InfoBlox IPAM — atomic provisioning creates IP, DNS, and inventory record simultaneously at workload creation</w:t>
            </w:r>
          </w:p>
        </w:tc>
      </w:tr>
      <w:tr>
        <w:tc>
          <w:tcPr/>
          <w:p>
            <w:pPr>
              <w:pStyle w:val="Compact"/>
              <w:jc w:val="left"/>
            </w:pPr>
            <w:r>
              <w:rPr>
                <w:bCs/>
                <w:b/>
              </w:rPr>
              <w:t xml:space="preserve">SC-20 / SC-21: DNSSEC not implemented</w:t>
            </w:r>
          </w:p>
        </w:tc>
        <w:tc>
          <w:tcPr/>
          <w:p>
            <w:pPr>
              <w:pStyle w:val="Compact"/>
              <w:jc w:val="left"/>
            </w:pPr>
            <w:r>
              <w:t xml:space="preserve">AWS Route 53 private zones cannot be DNSSEC-signed (documented platform gap); SDN segments not covered by any signed zone; no recursive DNSSEC validation on client-side resolvers</w:t>
            </w:r>
          </w:p>
        </w:tc>
        <w:tc>
          <w:tcPr/>
          <w:p>
            <w:pPr>
              <w:pStyle w:val="Compact"/>
              <w:jc w:val="left"/>
            </w:pPr>
            <w:r>
              <w:t xml:space="preserve">No authoritative DNSSEC-capable resolver spanning all four environments</w:t>
            </w:r>
          </w:p>
        </w:tc>
        <w:tc>
          <w:tcPr/>
          <w:p>
            <w:pPr>
              <w:pStyle w:val="Compact"/>
              <w:jc w:val="left"/>
            </w:pPr>
            <w:r>
              <w:t xml:space="preserve">InfoBlox DNSSEC Grid — signs all zones including internal SDN segments; provides recursive DNSSEC validation across all environments</w:t>
            </w:r>
          </w:p>
        </w:tc>
      </w:tr>
      <w:tr>
        <w:tc>
          <w:tcPr/>
          <w:p>
            <w:pPr>
              <w:pStyle w:val="Compact"/>
              <w:jc w:val="left"/>
            </w:pPr>
            <w:r>
              <w:rPr>
                <w:bCs/>
                <w:b/>
              </w:rPr>
              <w:t xml:space="preserve">SC-7: DNS-layer boundary control absent</w:t>
            </w:r>
          </w:p>
        </w:tc>
        <w:tc>
          <w:tcPr/>
          <w:p>
            <w:pPr>
              <w:pStyle w:val="Compact"/>
              <w:jc w:val="left"/>
            </w:pPr>
            <w:r>
              <w:t xml:space="preserve">C2 callback domains resolvable via standard resolver; DNS exfiltration undetected; no enforcement of GCC-only Microsoft 365 endpoint resolution</w:t>
            </w:r>
          </w:p>
        </w:tc>
        <w:tc>
          <w:tcPr/>
          <w:p>
            <w:pPr>
              <w:pStyle w:val="Compact"/>
              <w:jc w:val="left"/>
            </w:pPr>
            <w:r>
              <w:t xml:space="preserve">No DNS Response Policy Zone (RPZ) enforcement</w:t>
            </w:r>
          </w:p>
        </w:tc>
        <w:tc>
          <w:tcPr/>
          <w:p>
            <w:pPr>
              <w:pStyle w:val="Compact"/>
              <w:jc w:val="left"/>
            </w:pPr>
            <w:r>
              <w:t xml:space="preserve">InfoBlox RPZ + CISA Protective DNS feed — blocks C2 domains, exfiltration patterns, and non-GCC M365 endpoints at the resolver</w:t>
            </w:r>
          </w:p>
        </w:tc>
      </w:tr>
      <w:tr>
        <w:tc>
          <w:tcPr/>
          <w:p>
            <w:pPr>
              <w:pStyle w:val="Compact"/>
              <w:jc w:val="left"/>
            </w:pPr>
            <w:r>
              <w:rPr>
                <w:bCs/>
                <w:b/>
              </w:rPr>
              <w:t xml:space="preserve">AU-2 / AU-12: DNS and DHCP events not in SIEM</w:t>
            </w:r>
          </w:p>
        </w:tc>
        <w:tc>
          <w:tcPr/>
          <w:p>
            <w:pPr>
              <w:pStyle w:val="Compact"/>
              <w:jc w:val="left"/>
            </w:pPr>
            <w:r>
              <w:t xml:space="preserve">Four separate DNS log formats; DHCP lease events not captured; no unified audit trail for IP allocation and resolution events; correlation across environments impossible</w:t>
            </w:r>
          </w:p>
        </w:tc>
        <w:tc>
          <w:tcPr/>
          <w:p>
            <w:pPr>
              <w:pStyle w:val="Compact"/>
              <w:jc w:val="left"/>
            </w:pPr>
            <w:r>
              <w:t xml:space="preserve">Per-environment logging without unified syslog pipeline</w:t>
            </w:r>
          </w:p>
        </w:tc>
        <w:tc>
          <w:tcPr/>
          <w:p>
            <w:pPr>
              <w:pStyle w:val="Compact"/>
              <w:jc w:val="left"/>
            </w:pPr>
            <w:r>
              <w:t xml:space="preserve">InfoBlox unified syslog — single RFC 5424 stream across all Grid Members to agency SIEM</w:t>
            </w:r>
          </w:p>
        </w:tc>
      </w:tr>
      <w:tr>
        <w:tc>
          <w:tcPr/>
          <w:p>
            <w:pPr>
              <w:pStyle w:val="Compact"/>
              <w:jc w:val="left"/>
            </w:pPr>
            <w:r>
              <w:rPr>
                <w:bCs/>
                <w:b/>
              </w:rPr>
              <w:t xml:space="preserve">IA-9 / SC-8: Certificate-to-IP binding undocumented</w:t>
            </w:r>
          </w:p>
        </w:tc>
        <w:tc>
          <w:tcPr/>
          <w:p>
            <w:pPr>
              <w:pStyle w:val="Compact"/>
              <w:jc w:val="left"/>
            </w:pPr>
            <w:r>
              <w:t xml:space="preserve">mTLS enrollment is manual and untracked; certificate inventory not linked to IP host records; SCEP/EST enrollment not enforced at provisioning</w:t>
            </w:r>
          </w:p>
        </w:tc>
        <w:tc>
          <w:tcPr/>
          <w:p>
            <w:pPr>
              <w:pStyle w:val="Compact"/>
              <w:jc w:val="left"/>
            </w:pPr>
            <w:r>
              <w:t xml:space="preserve">No PKI integration with IP management</w:t>
            </w:r>
          </w:p>
        </w:tc>
        <w:tc>
          <w:tcPr/>
          <w:p>
            <w:pPr>
              <w:pStyle w:val="Compact"/>
              <w:jc w:val="left"/>
            </w:pPr>
            <w:r>
              <w:t xml:space="preserve">InfoBlox PKI / SCEP/EST — certificate issued at provisioning, revoked at decommission, linked to IP host record</w:t>
            </w:r>
          </w:p>
        </w:tc>
      </w:tr>
      <w:tr>
        <w:tc>
          <w:tcPr/>
          <w:p>
            <w:pPr>
              <w:pStyle w:val="Compact"/>
              <w:jc w:val="left"/>
            </w:pPr>
            <w:r>
              <w:rPr>
                <w:bCs/>
                <w:b/>
              </w:rPr>
              <w:t xml:space="preserve">SC-8: Network-layer encryption absent on DIA circuits</w:t>
            </w:r>
          </w:p>
        </w:tc>
        <w:tc>
          <w:tcPr/>
          <w:p>
            <w:pPr>
              <w:pStyle w:val="Compact"/>
              <w:jc w:val="left"/>
            </w:pPr>
            <w:r>
              <w:t xml:space="preserve">DIA circuits carry traffic at the network layer without encryption; application-layer TLS is the only confidentiality control; no network-layer integrity guarantee on the access path</w:t>
            </w:r>
          </w:p>
        </w:tc>
        <w:tc>
          <w:tcPr/>
          <w:p>
            <w:pPr>
              <w:pStyle w:val="Compact"/>
              <w:jc w:val="left"/>
            </w:pPr>
            <w:r>
              <w:t xml:space="preserve">No IPsec overlay on DIA circuits</w:t>
            </w:r>
          </w:p>
        </w:tc>
        <w:tc>
          <w:tcPr/>
          <w:p>
            <w:pPr>
              <w:pStyle w:val="Compact"/>
              <w:jc w:val="left"/>
            </w:pPr>
            <w:r>
              <w:t xml:space="preserve">SD-WAN IPsec overlay — encrypts all traffic at the network layer regardless of application-layer TLS state</w:t>
            </w:r>
          </w:p>
        </w:tc>
      </w:tr>
      <w:tr>
        <w:tc>
          <w:tcPr/>
          <w:p>
            <w:pPr>
              <w:pStyle w:val="Compact"/>
              <w:jc w:val="left"/>
            </w:pPr>
            <w:r>
              <w:rPr>
                <w:bCs/>
                <w:b/>
              </w:rPr>
              <w:t xml:space="preserve">AC-4: Application-layer information flow not enforced</w:t>
            </w:r>
          </w:p>
        </w:tc>
        <w:tc>
          <w:tcPr/>
          <w:p>
            <w:pPr>
              <w:pStyle w:val="Compact"/>
              <w:jc w:val="lef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jc w:val="left"/>
            </w:pPr>
            <w:r>
              <w:t xml:space="preserve">No application-layer inspection on DIA path</w:t>
            </w:r>
          </w:p>
        </w:tc>
        <w:tc>
          <w:tcPr/>
          <w:p>
            <w:pPr>
              <w:pStyle w:val="Compact"/>
              <w:jc w:val="left"/>
            </w:pPr>
            <w:r>
              <w:t xml:space="preserve">SASE CASB — identifies application, tenant, data type, and user action at each session; enforces information flow policy</w:t>
            </w:r>
          </w:p>
        </w:tc>
      </w:tr>
      <w:tr>
        <w:tc>
          <w:tcPr/>
          <w:p>
            <w:pPr>
              <w:pStyle w:val="Compact"/>
              <w:jc w:val="left"/>
            </w:pPr>
            <w:r>
              <w:rPr>
                <w:bCs/>
                <w:b/>
              </w:rPr>
              <w:t xml:space="preserve">SC-7: Application-layer boundary protection absent on DIA path</w:t>
            </w:r>
          </w:p>
        </w:tc>
        <w:tc>
          <w:tcPr/>
          <w:p>
            <w:pPr>
              <w:pStyle w:val="Compact"/>
              <w:jc w:val="left"/>
            </w:pPr>
            <w:r>
              <w:t xml:space="preserve">Port 443 traffic opaque to network controls; C2 on standard HTTPS port undetectable; data loss patterns invisible to IP/port firewall</w:t>
            </w:r>
          </w:p>
        </w:tc>
        <w:tc>
          <w:tcPr/>
          <w:p>
            <w:pPr>
              <w:pStyle w:val="Compact"/>
              <w:jc w:val="left"/>
            </w:pPr>
            <w:r>
              <w:t xml:space="preserve">No Secure Web Gateway on DIA path</w:t>
            </w:r>
          </w:p>
        </w:tc>
        <w:tc>
          <w:tcPr/>
          <w:p>
            <w:pPr>
              <w:pStyle w:val="Compact"/>
              <w:jc w:val="left"/>
            </w:pPr>
            <w:r>
              <w:t xml:space="preserve">SASE SWG / FWaaS — inline SSL inspection and application-layer boundary enforcement at every DIA egress point</w:t>
            </w:r>
          </w:p>
        </w:tc>
      </w:tr>
      <w:tr>
        <w:tc>
          <w:tcPr/>
          <w:p>
            <w:pPr>
              <w:pStyle w:val="Compact"/>
              <w:jc w:val="left"/>
            </w:pPr>
            <w:r>
              <w:rPr>
                <w:bCs/>
                <w:b/>
              </w:rPr>
              <w:t xml:space="preserve">SI-3: Inline malware inspection absent on DIA path</w:t>
            </w:r>
          </w:p>
        </w:tc>
        <w:tc>
          <w:tcPr/>
          <w:p>
            <w:pPr>
              <w:pStyle w:val="Compact"/>
              <w:jc w:val="left"/>
            </w:pPr>
            <w:r>
              <w:t xml:space="preserve">Malware delivered over HTTPS reaches endpoints before SIEM detection; no inspection point on DIA path between field office and internet</w:t>
            </w:r>
          </w:p>
        </w:tc>
        <w:tc>
          <w:tcPr/>
          <w:p>
            <w:pPr>
              <w:pStyle w:val="Compact"/>
              <w:jc w:val="left"/>
            </w:pPr>
            <w:r>
              <w:t xml:space="preserve">No inline scanning on DIA circuit</w:t>
            </w:r>
          </w:p>
        </w:tc>
        <w:tc>
          <w:tcPr/>
          <w:p>
            <w:pPr>
              <w:pStyle w:val="Compact"/>
              <w:jc w:val="left"/>
            </w:pPr>
            <w:r>
              <w:t xml:space="preserve">SASE SWG with SSL inspection — malware scanning inline at the nearest SASE Point of Presence</w:t>
            </w:r>
          </w:p>
        </w:tc>
      </w:tr>
      <w:tr>
        <w:tc>
          <w:tcPr/>
          <w:p>
            <w:pPr>
              <w:pStyle w:val="Compact"/>
              <w:jc w:val="left"/>
            </w:pPr>
            <w:r>
              <w:rPr>
                <w:bCs/>
                <w:b/>
              </w:rPr>
              <w:t xml:space="preserve">AU-12: Session records incomplete</w:t>
            </w:r>
          </w:p>
        </w:tc>
        <w:tc>
          <w:tcPr/>
          <w:p>
            <w:pPr>
              <w:pStyle w:val="Compact"/>
              <w:jc w:val="left"/>
            </w:pPr>
            <w:r>
              <w:t xml:space="preserve">IP flow logs contain source IP, destination IP, port, and byte count; user identity, device posture, application, action, and data type absent; non-repudiation requirements cannot be met</w:t>
            </w:r>
          </w:p>
        </w:tc>
        <w:tc>
          <w:tcPr/>
          <w:p>
            <w:pPr>
              <w:pStyle w:val="Compact"/>
              <w:jc w:val="left"/>
            </w:pPr>
            <w:r>
              <w:t xml:space="preserve">No application-layer session logging on DIA path</w:t>
            </w:r>
          </w:p>
        </w:tc>
        <w:tc>
          <w:tcPr/>
          <w:p>
            <w:pPr>
              <w:pStyle w:val="Compact"/>
              <w:jc w:val="left"/>
            </w:pPr>
            <w:r>
              <w:t xml:space="preserve">SASE per-session telemetry — structured record per session including user, device, application, action, data type, timestamp</w:t>
            </w:r>
          </w:p>
        </w:tc>
      </w:tr>
      <w:tr>
        <w:tc>
          <w:tcPr/>
          <w:p>
            <w:pPr>
              <w:pStyle w:val="Compact"/>
              <w:jc w:val="left"/>
            </w:pPr>
            <w:r>
              <w:rPr>
                <w:bCs/>
                <w:b/>
              </w:rPr>
              <w:t xml:space="preserve">IA-2: NTLM authentication events are audit-opaque</w:t>
            </w:r>
          </w:p>
        </w:tc>
        <w:tc>
          <w:tcPr/>
          <w:p>
            <w:pPr>
              <w:pStyle w:val="Compact"/>
              <w:jc w:val="left"/>
            </w:pPr>
            <w:r>
              <w:t xml:space="preserve">NTLM authentication does not produce token-level event records; SIEM cannot correlate authentication events with user identity, device, or session; pass-the-hash exposure undetectable</w:t>
            </w:r>
          </w:p>
        </w:tc>
        <w:tc>
          <w:tcPr/>
          <w:p>
            <w:pPr>
              <w:pStyle w:val="Compact"/>
              <w:jc w:val="left"/>
            </w:pPr>
            <w:r>
              <w:t xml:space="preserve">Kerberos/NTLM in use; Entra ID not deployed; NTLM fallback silent and unmonitored</w:t>
            </w:r>
          </w:p>
        </w:tc>
        <w:tc>
          <w:tcPr/>
          <w:p>
            <w:pPr>
              <w:pStyle w:val="Compact"/>
              <w:jc w:val="left"/>
            </w:pPr>
            <w:r>
              <w:t xml:space="preserve">Entra ID token-based authentication — every authentication produces a structured, queryable token-level event record</w:t>
            </w:r>
          </w:p>
        </w:tc>
      </w:tr>
      <w:tr>
        <w:tc>
          <w:tcPr/>
          <w:p>
            <w:pPr>
              <w:pStyle w:val="Compact"/>
              <w:jc w:val="left"/>
            </w:pPr>
            <w:r>
              <w:rPr>
                <w:bCs/>
                <w:b/>
              </w:rPr>
              <w:t xml:space="preserve">IA-5: SQL Server credential inventory undocumented</w:t>
            </w:r>
          </w:p>
        </w:tc>
        <w:tc>
          <w:tcPr/>
          <w:p>
            <w:pPr>
              <w:pStyle w:val="Compact"/>
              <w:jc w:val="left"/>
            </w:pPr>
            <w:r>
              <w:t xml:space="preserve">SQL logins store password hashes in SQL Server; no centralized rotation; service account passwords not managed by any credential management system; orphaned SQL logins not detected</w:t>
            </w:r>
          </w:p>
        </w:tc>
        <w:tc>
          <w:tcPr/>
          <w:p>
            <w:pPr>
              <w:pStyle w:val="Compact"/>
              <w:jc w:val="left"/>
            </w:pPr>
            <w:r>
              <w:t xml:space="preserve">Mixed-mode SQL authentication with stored credential hashes</w:t>
            </w:r>
          </w:p>
        </w:tc>
        <w:tc>
          <w:tcPr/>
          <w:p>
            <w:pPr>
              <w:pStyle w:val="Compact"/>
              <w:jc w:val="left"/>
            </w:pPr>
            <w:r>
              <w:t xml:space="preserve">Entra ID for SQL — SQL logins eliminated; Managed Identity connections require no stored credential; credential inventory becomes an Entra audit report</w:t>
            </w:r>
          </w:p>
        </w:tc>
      </w:tr>
      <w:tr>
        <w:tc>
          <w:tcPr/>
          <w:p>
            <w:pPr>
              <w:pStyle w:val="Compact"/>
              <w:jc w:val="left"/>
            </w:pPr>
            <w:r>
              <w:rPr>
                <w:bCs/>
                <w:b/>
              </w:rPr>
              <w:t xml:space="preserve">CM-8: SQL Server estate undocumented</w:t>
            </w:r>
          </w:p>
        </w:tc>
        <w:tc>
          <w:tcPr/>
          <w:p>
            <w:pPr>
              <w:pStyle w:val="Compact"/>
              <w:jc w:val="left"/>
            </w:pPr>
            <w:r>
              <w:t xml:space="preserve">SQL Server instances not fully enumerated; version and end-of-life posture unknown for some instances; login inventory stale; linked server dependencies not mapped</w:t>
            </w:r>
          </w:p>
        </w:tc>
        <w:tc>
          <w:tcPr/>
          <w:p>
            <w:pPr>
              <w:pStyle w:val="Compact"/>
              <w:jc w:val="left"/>
            </w:pPr>
            <w:r>
              <w:t xml:space="preserve">No SQL estate discovery or continuous inventory process</w:t>
            </w:r>
          </w:p>
        </w:tc>
        <w:tc>
          <w:tcPr/>
          <w:p>
            <w:pPr>
              <w:pStyle w:val="Compact"/>
              <w:jc w:val="left"/>
            </w:pPr>
            <w:r>
              <w:t xml:space="preserve">SQL estate discovery + continuous monitoring record — every instance inventoried, every login typed and tracked, every dependency mapped</w:t>
            </w:r>
          </w:p>
        </w:tc>
      </w:tr>
    </w:tbl>
    <w:p>
      <w:pPr>
        <w:pStyle w:val="BodyText"/>
      </w:pPr>
      <w:r>
        <w:rPr>
          <w:bCs/>
          <w:b/>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r>
        <w:pict>
          <v:rect style="width:0;height:1.5pt" o:hralign="center" o:hrstd="t" o:hr="t"/>
        </w:pict>
      </w:r>
    </w:p>
    <w:bookmarkEnd w:id="36"/>
    <w:bookmarkStart w:id="39" w:name="X6f9a64b586cbcc7969c4f245976846e0504a959"/>
    <w:p>
      <w:pPr>
        <w:pStyle w:val="Heading1"/>
      </w:pPr>
      <w:r>
        <w:t xml:space="preserve">Part 1 — Landing Zone DDI: InfoBlox DDI Closes 16 NIST Controls</w:t>
      </w:r>
    </w:p>
    <w:bookmarkStart w:id="37" w:name="what-this-document-addresses"/>
    <w:p>
      <w:pPr>
        <w:pStyle w:val="Heading2"/>
      </w:pPr>
      <w:r>
        <w:t xml:space="preserve">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Cs/>
          <w:b/>
        </w:rPr>
        <w:t xml:space="preserve">InfoBlox DDI</w:t>
      </w:r>
      <w:r>
        <w:t xml:space="preserve"> </w:t>
      </w:r>
      <w:r>
        <w:t xml:space="preserve">is the only FedRAMP Moderate-authorized DDI platform (CSO FR2017257053, authorized January 2023, hosted on AWS GovCloud). A single InfoBlox deployment spanning all four SSA environments closes</w:t>
      </w:r>
      <w:r>
        <w:t xml:space="preserve"> </w:t>
      </w:r>
      <w:r>
        <w:rPr>
          <w:bCs/>
          <w:b/>
        </w:rPr>
        <w:t xml:space="preserve">16 NIST SP 800-53 Rev 5 controls</w:t>
      </w:r>
      <w:r>
        <w:t xml:space="preserve"> </w:t>
      </w:r>
      <w:r>
        <w:t xml:space="preserve">that would otherwise require manual evidence assembly from four separate sources.</w:t>
      </w:r>
    </w:p>
    <w:bookmarkEnd w:id="37"/>
    <w:bookmarkStart w:id="38" w:name="nist-control-closure-part-1"/>
    <w:p>
      <w:pPr>
        <w:pStyle w:val="Heading2"/>
      </w:pPr>
      <w:r>
        <w:t xml:space="preserve">NIST Control Closure — Part 1</w:t>
      </w:r>
    </w:p>
    <w:p>
      <w:pPr>
        <w:pStyle w:val="TableCaption"/>
      </w:pPr>
      <w:r>
        <w:t xml:space="preserve">Part 1 — NIST SP 800-53 Rev 5 Control Closure: InfoBlox DDI Landing Zone {.striped .hover}</w:t>
      </w:r>
    </w:p>
    <w:tbl>
      <w:tblPr>
        <w:tblStyle w:val="Table"/>
        <w:tblW w:type="pct" w:w="5000"/>
        <w:tblLook w:firstRow="1" w:lastRow="0" w:firstColumn="0" w:lastColumn="0" w:noHBand="0" w:noVBand="0" w:val="0020"/>
        <w:jc w:val="start"/>
        <w:tblCaption w:val="Part 1 — NIST SP 800-53 Rev 5 Control Closure: InfoBlox DDI Landing Zon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InfoBlox DDI</w:t>
            </w:r>
          </w:p>
        </w:tc>
        <w:tc>
          <w:tcPr/>
          <w:p>
            <w:pPr>
              <w:pStyle w:val="Compact"/>
              <w:jc w:val="left"/>
            </w:pPr>
            <w:r>
              <w:t xml:space="preserve">With InfoBlox DDI</w:t>
            </w:r>
          </w:p>
        </w:tc>
        <w:tc>
          <w:tcPr/>
          <w:p>
            <w:pPr>
              <w:pStyle w:val="Compact"/>
              <w:jc w:val="left"/>
            </w:pPr>
            <w:r>
              <w:t xml:space="preserve">Evidence Generated</w:t>
            </w:r>
          </w:p>
        </w:tc>
      </w:tr>
      <w:tr>
        <w:tc>
          <w:tcPr/>
          <w:p>
            <w:pPr>
              <w:pStyle w:val="Compact"/>
              <w:jc w:val="left"/>
            </w:pPr>
            <w:r>
              <w:rPr>
                <w:bCs/>
                <w:b/>
              </w:rPr>
              <w:t xml:space="preserve">SC-20</w:t>
            </w:r>
          </w:p>
        </w:tc>
        <w:tc>
          <w:tcPr/>
          <w:p>
            <w:pPr>
              <w:pStyle w:val="Compact"/>
              <w:jc w:val="left"/>
            </w:pPr>
            <w:r>
              <w:t xml:space="preserve">Secure Name/Address Resolution (Authoritative)</w:t>
            </w:r>
          </w:p>
        </w:tc>
        <w:tc>
          <w:tcPr/>
          <w:p>
            <w:pPr>
              <w:pStyle w:val="Compact"/>
              <w:jc w:val="left"/>
            </w:pPr>
            <w:r>
              <w:t xml:space="preserve">InfoBlox DNSSEC</w:t>
            </w:r>
          </w:p>
        </w:tc>
        <w:tc>
          <w:tcPr/>
          <w:p>
            <w:pPr>
              <w:pStyle w:val="Compact"/>
              <w:jc w:val="left"/>
            </w:pPr>
            <w:r>
              <w:t xml:space="preserve">DNSSEC not signed on internal SDN zones; AWS Route 53 private zones cannot be DNSSEC-signed (documented platform gap)</w:t>
            </w:r>
          </w:p>
        </w:tc>
        <w:tc>
          <w:tcPr/>
          <w:p>
            <w:pPr>
              <w:pStyle w:val="Compact"/>
              <w:jc w:val="left"/>
            </w:pPr>
            <w:r>
              <w:t xml:space="preserve">All zones including internal SDN segments signed; DS record published to .gov TLD registrar</w:t>
            </w:r>
          </w:p>
        </w:tc>
        <w:tc>
          <w:tcPr/>
          <w:p>
            <w:pPr>
              <w:pStyle w:val="Compact"/>
              <w:jc w:val="left"/>
            </w:pPr>
            <w:r>
              <w:t xml:space="preserve">DNSSEC key rotation log; DS record audit</w:t>
            </w:r>
          </w:p>
        </w:tc>
      </w:tr>
      <w:tr>
        <w:tc>
          <w:tcPr/>
          <w:p>
            <w:pPr>
              <w:pStyle w:val="Compact"/>
              <w:jc w:val="left"/>
            </w:pPr>
            <w:r>
              <w:rPr>
                <w:bCs/>
                <w:b/>
              </w:rPr>
              <w:t xml:space="preserve">SC-20(1)</w:t>
            </w:r>
          </w:p>
        </w:tc>
        <w:tc>
          <w:tcPr/>
          <w:p>
            <w:pPr>
              <w:pStyle w:val="Compact"/>
              <w:jc w:val="left"/>
            </w:pPr>
            <w:r>
              <w:t xml:space="preserve">Child Subspaces</w:t>
            </w:r>
          </w:p>
        </w:tc>
        <w:tc>
          <w:tcPr/>
          <w:p>
            <w:pPr>
              <w:pStyle w:val="Compact"/>
              <w:jc w:val="left"/>
            </w:pPr>
            <w:r>
              <w:t xml:space="preserve">InfoBlox DNSSEC</w:t>
            </w:r>
          </w:p>
        </w:tc>
        <w:tc>
          <w:tcPr/>
          <w:p>
            <w:pPr>
              <w:pStyle w:val="Compact"/>
              <w:jc w:val="left"/>
            </w:pPr>
            <w:r>
              <w:t xml:space="preserve">No cryptographic chain of trust for subzone delegation</w:t>
            </w:r>
          </w:p>
        </w:tc>
        <w:tc>
          <w:tcPr/>
          <w:p>
            <w:pPr>
              <w:pStyle w:val="Compact"/>
              <w:jc w:val="left"/>
            </w:pPr>
            <w:r>
              <w:t xml:space="preserve">Grid Master signs all delegated subzones; chain of trust maintained automatically</w:t>
            </w:r>
          </w:p>
        </w:tc>
        <w:tc>
          <w:tcPr/>
          <w:p>
            <w:pPr>
              <w:pStyle w:val="Compact"/>
              <w:jc w:val="left"/>
            </w:pPr>
            <w:r>
              <w:t xml:space="preserve">Delegation signer records in Grid audit log</w:t>
            </w:r>
          </w:p>
        </w:tc>
      </w:tr>
      <w:tr>
        <w:tc>
          <w:tcPr/>
          <w:p>
            <w:pPr>
              <w:pStyle w:val="Compact"/>
              <w:jc w:val="left"/>
            </w:pPr>
            <w:r>
              <w:rPr>
                <w:bCs/>
                <w:b/>
              </w:rPr>
              <w:t xml:space="preserve">SC-21</w:t>
            </w:r>
          </w:p>
        </w:tc>
        <w:tc>
          <w:tcPr/>
          <w:p>
            <w:pPr>
              <w:pStyle w:val="Compact"/>
              <w:jc w:val="left"/>
            </w:pPr>
            <w:r>
              <w:t xml:space="preserve">Secure Name/Address Resolution (Recursive)</w:t>
            </w:r>
          </w:p>
        </w:tc>
        <w:tc>
          <w:tcPr/>
          <w:p>
            <w:pPr>
              <w:pStyle w:val="Compact"/>
              <w:jc w:val="left"/>
            </w:pPr>
            <w:r>
              <w:t xml:space="preserve">InfoBlox RPZ + PDNS</w:t>
            </w:r>
          </w:p>
        </w:tc>
        <w:tc>
          <w:tcPr/>
          <w:p>
            <w:pPr>
              <w:pStyle w:val="Compact"/>
              <w:jc w:val="left"/>
            </w:pPr>
            <w:r>
              <w:t xml:space="preserve">No recursive DNSSEC validation on client-side resolvers</w:t>
            </w:r>
          </w:p>
        </w:tc>
        <w:tc>
          <w:tcPr/>
          <w:p>
            <w:pPr>
              <w:pStyle w:val="Compact"/>
              <w:jc w:val="left"/>
            </w:pPr>
            <w:r>
              <w:t xml:space="preserve">All Grid Members perform recursive DNSSEC validation; CISA Protective DNS feed integrated as RPZ</w:t>
            </w:r>
          </w:p>
        </w:tc>
        <w:tc>
          <w:tcPr/>
          <w:p>
            <w:pPr>
              <w:pStyle w:val="Compact"/>
              <w:jc w:val="left"/>
            </w:pPr>
            <w:r>
              <w:t xml:space="preserve">RPZ hit log to SIEM; validation failure alerts</w:t>
            </w:r>
          </w:p>
        </w:tc>
      </w:tr>
      <w:tr>
        <w:tc>
          <w:tcPr/>
          <w:p>
            <w:pPr>
              <w:pStyle w:val="Compact"/>
              <w:jc w:val="left"/>
            </w:pPr>
            <w:r>
              <w:rPr>
                <w:bCs/>
                <w:b/>
              </w:rPr>
              <w:t xml:space="preserve">SC-22</w:t>
            </w:r>
          </w:p>
        </w:tc>
        <w:tc>
          <w:tcPr/>
          <w:p>
            <w:pPr>
              <w:pStyle w:val="Compact"/>
              <w:jc w:val="left"/>
            </w:pPr>
            <w:r>
              <w:t xml:space="preserve">Architecture and Provisioning for Name/Address Resolution</w:t>
            </w:r>
          </w:p>
        </w:tc>
        <w:tc>
          <w:tcPr/>
          <w:p>
            <w:pPr>
              <w:pStyle w:val="Compact"/>
              <w:jc w:val="left"/>
            </w:pPr>
            <w:r>
              <w:t xml:space="preserve">InfoBlox Network Insight</w:t>
            </w:r>
          </w:p>
        </w:tc>
        <w:tc>
          <w:tcPr/>
          <w:p>
            <w:pPr>
              <w:pStyle w:val="Compact"/>
              <w:jc w:val="left"/>
            </w:pPr>
            <w:r>
              <w:t xml:space="preserve">DNS topology undocumented or manually maintained</w:t>
            </w:r>
          </w:p>
        </w:tc>
        <w:tc>
          <w:tcPr/>
          <w:p>
            <w:pPr>
              <w:pStyle w:val="Compact"/>
              <w:jc w:val="left"/>
            </w:pPr>
            <w:r>
              <w:t xml:space="preserve">Network Insight auto-generates authoritative DDI topology; Grid Master-to-Member map maintained continuously</w:t>
            </w:r>
          </w:p>
        </w:tc>
        <w:tc>
          <w:tcPr/>
          <w:p>
            <w:pPr>
              <w:pStyle w:val="Compact"/>
              <w:jc w:val="left"/>
            </w:pPr>
            <w:r>
              <w:t xml:space="preserve">Network Insight export; SSP Appendix J auto-populated</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InfoBlox RPZ</w:t>
            </w:r>
          </w:p>
        </w:tc>
        <w:tc>
          <w:tcPr/>
          <w:p>
            <w:pPr>
              <w:pStyle w:val="Compact"/>
              <w:jc w:val="left"/>
            </w:pPr>
            <w:r>
              <w:t xml:space="preserve">DNS-layer egress is uncontrolled; no enforcement of GCC boundary for Microsoft 365</w:t>
            </w:r>
          </w:p>
        </w:tc>
        <w:tc>
          <w:tcPr/>
          <w:p>
            <w:pPr>
              <w:pStyle w:val="Compact"/>
              <w:jc w:val="left"/>
            </w:pPr>
            <w:r>
              <w:t xml:space="preserve">RPZ enforces domain-level egress blocking across all four environments; blocks C2 domains, DNS exfiltration, and non-GCC M365 endpoints</w:t>
            </w:r>
          </w:p>
        </w:tc>
        <w:tc>
          <w:tcPr/>
          <w:p>
            <w:pPr>
              <w:pStyle w:val="Compact"/>
              <w:jc w:val="left"/>
            </w:pPr>
            <w:r>
              <w:t xml:space="preserve">RPZ block rate dashboard; SC-7(7) exfiltration alert</w:t>
            </w:r>
          </w:p>
        </w:tc>
      </w:tr>
      <w:tr>
        <w:tc>
          <w:tcPr/>
          <w:p>
            <w:pPr>
              <w:pStyle w:val="Compact"/>
              <w:jc w:val="left"/>
            </w:pPr>
            <w:r>
              <w:rPr>
                <w:bCs/>
                <w:b/>
              </w:rPr>
              <w:t xml:space="preserve">SC-7(7)</w:t>
            </w:r>
          </w:p>
        </w:tc>
        <w:tc>
          <w:tcPr/>
          <w:p>
            <w:pPr>
              <w:pStyle w:val="Compact"/>
              <w:jc w:val="left"/>
            </w:pPr>
            <w:r>
              <w:t xml:space="preserve">Prevent Split Tunneling</w:t>
            </w:r>
          </w:p>
        </w:tc>
        <w:tc>
          <w:tcPr/>
          <w:p>
            <w:pPr>
              <w:pStyle w:val="Compact"/>
              <w:jc w:val="left"/>
            </w:pPr>
            <w:r>
              <w:t xml:space="preserve">InfoBlox RPZ</w:t>
            </w:r>
          </w:p>
        </w:tc>
        <w:tc>
          <w:tcPr/>
          <w:p>
            <w:pPr>
              <w:pStyle w:val="Compact"/>
              <w:jc w:val="left"/>
            </w:pPr>
            <w:r>
              <w:t xml:space="preserve">No DNS-layer control over split tunnel behavior</w:t>
            </w:r>
          </w:p>
        </w:tc>
        <w:tc>
          <w:tcPr/>
          <w:p>
            <w:pPr>
              <w:pStyle w:val="Compact"/>
              <w:jc w:val="left"/>
            </w:pPr>
            <w:r>
              <w:t xml:space="preserve">RPZ blocks resolution of split-tunnel-bypass domains; enforces GCC-only Microsoft 365 resolution</w:t>
            </w:r>
          </w:p>
        </w:tc>
        <w:tc>
          <w:tcPr/>
          <w:p>
            <w:pPr>
              <w:pStyle w:val="Compact"/>
              <w:jc w:val="left"/>
            </w:pPr>
            <w:r>
              <w:t xml:space="preserve">RPZ policy export; block event log</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InfoBlox PKI / mTLS</w:t>
            </w:r>
          </w:p>
        </w:tc>
        <w:tc>
          <w:tcPr/>
          <w:p>
            <w:pPr>
              <w:pStyle w:val="Compact"/>
              <w:jc w:val="left"/>
            </w:pPr>
            <w:r>
              <w:t xml:space="preserve">Certificate-to-IP binding undocumented; mTLS enrollment manual or absent</w:t>
            </w:r>
          </w:p>
        </w:tc>
        <w:tc>
          <w:tcPr/>
          <w:p>
            <w:pPr>
              <w:pStyle w:val="Compact"/>
              <w:jc w:val="left"/>
            </w:pPr>
            <w:r>
              <w:t xml:space="preserve">mTLS enforced between workloads via certificate-to-IP binding; SCEP/EST enrollment automated at provisioning</w:t>
            </w:r>
          </w:p>
        </w:tc>
        <w:tc>
          <w:tcPr/>
          <w:p>
            <w:pPr>
              <w:pStyle w:val="Compact"/>
              <w:jc w:val="left"/>
            </w:pPr>
            <w:r>
              <w:t xml:space="preserve">Certificate Tracker report; mTLS config export</w:t>
            </w:r>
          </w:p>
        </w:tc>
      </w:tr>
      <w:tr>
        <w:tc>
          <w:tcPr/>
          <w:p>
            <w:pPr>
              <w:pStyle w:val="Compact"/>
              <w:jc w:val="left"/>
            </w:pPr>
            <w:r>
              <w:rPr>
                <w:bCs/>
                <w:b/>
              </w:rPr>
              <w:t xml:space="preserve">SC-8(1)</w:t>
            </w:r>
          </w:p>
        </w:tc>
        <w:tc>
          <w:tcPr/>
          <w:p>
            <w:pPr>
              <w:pStyle w:val="Compact"/>
              <w:jc w:val="left"/>
            </w:pPr>
            <w:r>
              <w:t xml:space="preserve">Cryptographic Protection</w:t>
            </w:r>
          </w:p>
        </w:tc>
        <w:tc>
          <w:tcPr/>
          <w:p>
            <w:pPr>
              <w:pStyle w:val="Compact"/>
              <w:jc w:val="left"/>
            </w:pPr>
            <w:r>
              <w:t xml:space="preserve">InfoBlox PKI</w:t>
            </w:r>
          </w:p>
        </w:tc>
        <w:tc>
          <w:tcPr/>
          <w:p>
            <w:pPr>
              <w:pStyle w:val="Compact"/>
              <w:jc w:val="left"/>
            </w:pPr>
            <w:r>
              <w:t xml:space="preserve">Encryption enforcement point-by-point; no systematic coverage</w:t>
            </w:r>
          </w:p>
        </w:tc>
        <w:tc>
          <w:tcPr/>
          <w:p>
            <w:pPr>
              <w:pStyle w:val="Compact"/>
              <w:jc w:val="left"/>
            </w:pPr>
            <w:r>
              <w:t xml:space="preserve">Certificate Tracker links cert thumbprint, expiry, issuer, and key strength to every IP host record</w:t>
            </w:r>
          </w:p>
        </w:tc>
        <w:tc>
          <w:tcPr/>
          <w:p>
            <w:pPr>
              <w:pStyle w:val="Compact"/>
              <w:jc w:val="left"/>
            </w:pPr>
            <w:r>
              <w:t xml:space="preserve">Cert inventory report; expiry alert log</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InfoBlox IPAM</w:t>
            </w:r>
          </w:p>
        </w:tc>
        <w:tc>
          <w:tcPr/>
          <w:p>
            <w:pPr>
              <w:pStyle w:val="Compact"/>
              <w:jc w:val="left"/>
            </w:pPr>
            <w:r>
              <w:t xml:space="preserve">IP inventory assembled manually per environment; four separate CMDB feeds; inventory drifts between assessments</w:t>
            </w:r>
          </w:p>
        </w:tc>
        <w:tc>
          <w:tcPr/>
          <w:p>
            <w:pPr>
              <w:pStyle w:val="Compact"/>
              <w:jc w:val="left"/>
            </w:pPr>
            <w:r>
              <w:t xml:space="preserve">Every IP host record is a CM-8 inventory item; SDN connectors enrich with VM name, OS, owner, and cloud region in near-real-time</w:t>
            </w:r>
          </w:p>
        </w:tc>
        <w:tc>
          <w:tcPr/>
          <w:p>
            <w:pPr>
              <w:pStyle w:val="Compact"/>
              <w:jc w:val="left"/>
            </w:pPr>
            <w:r>
              <w:t xml:space="preserve">IP host record export to ServiceNow CMDB; CM-8 report on demand</w:t>
            </w:r>
          </w:p>
        </w:tc>
      </w:tr>
      <w:tr>
        <w:tc>
          <w:tcPr/>
          <w:p>
            <w:pPr>
              <w:pStyle w:val="Compact"/>
              <w:jc w:val="left"/>
            </w:pPr>
            <w:r>
              <w:rPr>
                <w:bCs/>
                <w:b/>
              </w:rPr>
              <w:t xml:space="preserve">CM-8(1)</w:t>
            </w:r>
          </w:p>
        </w:tc>
        <w:tc>
          <w:tcPr/>
          <w:p>
            <w:pPr>
              <w:pStyle w:val="Compact"/>
              <w:jc w:val="left"/>
            </w:pPr>
            <w:r>
              <w:t xml:space="preserve">Updates During Installation / Removal</w:t>
            </w:r>
          </w:p>
        </w:tc>
        <w:tc>
          <w:tcPr/>
          <w:p>
            <w:pPr>
              <w:pStyle w:val="Compact"/>
              <w:jc w:val="left"/>
            </w:pPr>
            <w:r>
              <w:t xml:space="preserve">InfoBlox IPAM</w:t>
            </w:r>
          </w:p>
        </w:tc>
        <w:tc>
          <w:tcPr/>
          <w:p>
            <w:pPr>
              <w:pStyle w:val="Compact"/>
              <w:jc w:val="left"/>
            </w:pPr>
            <w:r>
              <w:t xml:space="preserve">New workloads added without inventory update until next scan</w:t>
            </w:r>
          </w:p>
        </w:tc>
        <w:tc>
          <w:tcPr/>
          <w:p>
            <w:pPr>
              <w:pStyle w:val="Compact"/>
              <w:jc w:val="left"/>
            </w:pPr>
            <w:r>
              <w:t xml:space="preserve">IaC integration creates IP+DNS+cert record atomically at provisioning; destroys all three at decommission</w:t>
            </w:r>
          </w:p>
        </w:tc>
        <w:tc>
          <w:tcPr/>
          <w:p>
            <w:pPr>
              <w:pStyle w:val="Compact"/>
              <w:jc w:val="left"/>
            </w:pPr>
            <w:r>
              <w:t xml:space="preserve">Terraform state; IP lifecycle audit log</w:t>
            </w:r>
          </w:p>
        </w:tc>
      </w:tr>
      <w:tr>
        <w:tc>
          <w:tcPr/>
          <w:p>
            <w:pPr>
              <w:pStyle w:val="Compact"/>
              <w:jc w:val="left"/>
            </w:pPr>
            <w:r>
              <w:rPr>
                <w:bCs/>
                <w:b/>
              </w:rPr>
              <w:t xml:space="preserve">CM-2 / CM-6</w:t>
            </w:r>
          </w:p>
        </w:tc>
        <w:tc>
          <w:tcPr/>
          <w:p>
            <w:pPr>
              <w:pStyle w:val="Compact"/>
              <w:jc w:val="left"/>
            </w:pPr>
            <w:r>
              <w:t xml:space="preserve">Baseline Configuration / Configuration Settings</w:t>
            </w:r>
          </w:p>
        </w:tc>
        <w:tc>
          <w:tcPr/>
          <w:p>
            <w:pPr>
              <w:pStyle w:val="Compact"/>
              <w:jc w:val="left"/>
            </w:pPr>
            <w:r>
              <w:t xml:space="preserve">InfoBlox Grid</w:t>
            </w:r>
          </w:p>
        </w:tc>
        <w:tc>
          <w:tcPr/>
          <w:p>
            <w:pPr>
              <w:pStyle w:val="Compact"/>
              <w:jc w:val="left"/>
            </w:pPr>
            <w:r>
              <w:t xml:space="preserve">DNS and DHCP configuration undocumented; drift undetected</w:t>
            </w:r>
          </w:p>
        </w:tc>
        <w:tc>
          <w:tcPr/>
          <w:p>
            <w:pPr>
              <w:pStyle w:val="Compact"/>
              <w:jc w:val="left"/>
            </w:pPr>
            <w:r>
              <w:t xml:space="preserve">Grid configuration versioned; IaC integration enforces baseline; Grid audit log records every configuration change</w:t>
            </w:r>
          </w:p>
        </w:tc>
        <w:tc>
          <w:tcPr/>
          <w:p>
            <w:pPr>
              <w:pStyle w:val="Compact"/>
              <w:jc w:val="left"/>
            </w:pPr>
            <w:r>
              <w:t xml:space="preserve">Terraform state; Grid configuration snapshot</w:t>
            </w:r>
          </w:p>
        </w:tc>
      </w:tr>
      <w:tr>
        <w:tc>
          <w:tcPr/>
          <w:p>
            <w:pPr>
              <w:pStyle w:val="Compact"/>
              <w:jc w:val="left"/>
            </w:pPr>
            <w:r>
              <w:rPr>
                <w:bCs/>
                <w:b/>
              </w:rPr>
              <w:t xml:space="preserve">SA-9</w:t>
            </w:r>
          </w:p>
        </w:tc>
        <w:tc>
          <w:tcPr/>
          <w:p>
            <w:pPr>
              <w:pStyle w:val="Compact"/>
              <w:jc w:val="left"/>
            </w:pPr>
            <w:r>
              <w:t xml:space="preserve">External System Services</w:t>
            </w:r>
          </w:p>
        </w:tc>
        <w:tc>
          <w:tcPr/>
          <w:p>
            <w:pPr>
              <w:pStyle w:val="Compact"/>
              <w:jc w:val="left"/>
            </w:pPr>
            <w:r>
              <w:t xml:space="preserve">InfoBlox DNS Forwarders</w:t>
            </w:r>
          </w:p>
        </w:tc>
        <w:tc>
          <w:tcPr/>
          <w:p>
            <w:pPr>
              <w:pStyle w:val="Compact"/>
              <w:jc w:val="left"/>
            </w:pPr>
            <w:r>
              <w:t xml:space="preserve">External DNS dependencies undocumented; no systematic SA-9 table</w:t>
            </w:r>
          </w:p>
        </w:tc>
        <w:tc>
          <w:tcPr/>
          <w:p>
            <w:pPr>
              <w:pStyle w:val="Compact"/>
              <w:jc w:val="left"/>
            </w:pPr>
            <w:r>
              <w:t xml:space="preserve">All external DNS forwarding destinations registered as governed external services; conditional forwarders generate SA-9 table automatically</w:t>
            </w:r>
          </w:p>
        </w:tc>
        <w:tc>
          <w:tcPr/>
          <w:p>
            <w:pPr>
              <w:pStyle w:val="Compact"/>
              <w:jc w:val="left"/>
            </w:pPr>
            <w:r>
              <w:t xml:space="preserve">Forwarder config export; SSP SA-9 table</w:t>
            </w:r>
          </w:p>
        </w:tc>
      </w:tr>
      <w:tr>
        <w:tc>
          <w:tcPr/>
          <w:p>
            <w:pPr>
              <w:pStyle w:val="Compact"/>
              <w:jc w:val="left"/>
            </w:pPr>
            <w:r>
              <w:rPr>
                <w:bCs/>
                <w:b/>
              </w:rPr>
              <w:t xml:space="preserve">IA-5(2)</w:t>
            </w:r>
          </w:p>
        </w:tc>
        <w:tc>
          <w:tcPr/>
          <w:p>
            <w:pPr>
              <w:pStyle w:val="Compact"/>
              <w:jc w:val="left"/>
            </w:pPr>
            <w:r>
              <w:t xml:space="preserve">Public Key-Based Authentication</w:t>
            </w:r>
          </w:p>
        </w:tc>
        <w:tc>
          <w:tcPr/>
          <w:p>
            <w:pPr>
              <w:pStyle w:val="Compact"/>
              <w:jc w:val="left"/>
            </w:pPr>
            <w:r>
              <w:t xml:space="preserve">InfoBlox PKI / Cert Tracker</w:t>
            </w:r>
          </w:p>
        </w:tc>
        <w:tc>
          <w:tcPr/>
          <w:p>
            <w:pPr>
              <w:pStyle w:val="Compact"/>
              <w:jc w:val="left"/>
            </w:pPr>
            <w:r>
              <w:t xml:space="preserve">Certificate inventory maintained manually; expiry not linked to IP records</w:t>
            </w:r>
          </w:p>
        </w:tc>
        <w:tc>
          <w:tcPr/>
          <w:p>
            <w:pPr>
              <w:pStyle w:val="Compact"/>
              <w:jc w:val="left"/>
            </w:pPr>
            <w:r>
              <w:t xml:space="preserve">Certificate Tracker links cert thumbprint, expiry, issuer, and enrollment source to IP host record</w:t>
            </w:r>
          </w:p>
        </w:tc>
        <w:tc>
          <w:tcPr/>
          <w:p>
            <w:pPr>
              <w:pStyle w:val="Compact"/>
              <w:jc w:val="left"/>
            </w:pPr>
            <w:r>
              <w:t xml:space="preserve">Cert inventory report; expiry alert log</w:t>
            </w:r>
          </w:p>
        </w:tc>
      </w:tr>
      <w:tr>
        <w:tc>
          <w:tcPr/>
          <w:p>
            <w:pPr>
              <w:pStyle w:val="Compact"/>
              <w:jc w:val="left"/>
            </w:pPr>
            <w:r>
              <w:rPr>
                <w:bCs/>
                <w:b/>
              </w:rPr>
              <w:t xml:space="preserve">IA-9</w:t>
            </w:r>
          </w:p>
        </w:tc>
        <w:tc>
          <w:tcPr/>
          <w:p>
            <w:pPr>
              <w:pStyle w:val="Compact"/>
              <w:jc w:val="left"/>
            </w:pPr>
            <w:r>
              <w:t xml:space="preserve">Service Identification and Authentication</w:t>
            </w:r>
          </w:p>
        </w:tc>
        <w:tc>
          <w:tcPr/>
          <w:p>
            <w:pPr>
              <w:pStyle w:val="Compact"/>
              <w:jc w:val="left"/>
            </w:pPr>
            <w:r>
              <w:t xml:space="preserve">InfoBlox SCEP/EST</w:t>
            </w:r>
          </w:p>
        </w:tc>
        <w:tc>
          <w:tcPr/>
          <w:p>
            <w:pPr>
              <w:pStyle w:val="Compact"/>
              <w:jc w:val="left"/>
            </w:pPr>
            <w:r>
              <w:t xml:space="preserve">Workload-to-workload authentication undocumented; certificates issued ad hoc</w:t>
            </w:r>
          </w:p>
        </w:tc>
        <w:tc>
          <w:tcPr/>
          <w:p>
            <w:pPr>
              <w:pStyle w:val="Compact"/>
              <w:jc w:val="left"/>
            </w:pPr>
            <w:r>
              <w:t xml:space="preserve">Every SDN workload receives a certificate via SCEP/EST automation at provisioning; certificate possession = boundary membership</w:t>
            </w:r>
          </w:p>
        </w:tc>
        <w:tc>
          <w:tcPr/>
          <w:p>
            <w:pPr>
              <w:pStyle w:val="Compact"/>
              <w:jc w:val="left"/>
            </w:pPr>
            <w:r>
              <w:t xml:space="preserve">SCEP enrollment log; cert-to-IP binding report</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InfoBlox Syslog</w:t>
            </w:r>
          </w:p>
        </w:tc>
        <w:tc>
          <w:tcPr/>
          <w:p>
            <w:pPr>
              <w:pStyle w:val="Compact"/>
              <w:jc w:val="left"/>
            </w:pPr>
            <w:r>
              <w:t xml:space="preserve">DNS, DHCP, and IP allocation events logged per-environment in incompatible formats; no unified SIEM feed</w:t>
            </w:r>
          </w:p>
        </w:tc>
        <w:tc>
          <w:tcPr/>
          <w:p>
            <w:pPr>
              <w:pStyle w:val="Compact"/>
              <w:jc w:val="left"/>
            </w:pPr>
            <w:r>
              <w:t xml:space="preserve">Single syslog stream from all Grid Members across all four environments; RFC 5424 format; 3-year retention configured</w:t>
            </w:r>
          </w:p>
        </w:tc>
        <w:tc>
          <w:tcPr/>
          <w:p>
            <w:pPr>
              <w:pStyle w:val="Compact"/>
              <w:jc w:val="left"/>
            </w:pPr>
            <w:r>
              <w:t xml:space="preserve">SIEM dashboards; retention policy; pre-built Sentinel/Splunk queries</w:t>
            </w:r>
          </w:p>
        </w:tc>
      </w:tr>
      <w:tr>
        <w:tc>
          <w:tcPr/>
          <w:p>
            <w:pPr>
              <w:pStyle w:val="Compact"/>
              <w:jc w:val="left"/>
            </w:pPr>
            <w:r>
              <w:rPr>
                <w:bCs/>
                <w:b/>
              </w:rPr>
              <w:t xml:space="preserve">IR-4 / IR-5</w:t>
            </w:r>
          </w:p>
        </w:tc>
        <w:tc>
          <w:tcPr/>
          <w:p>
            <w:pPr>
              <w:pStyle w:val="Compact"/>
              <w:jc w:val="left"/>
            </w:pPr>
            <w:r>
              <w:t xml:space="preserve">Incident Handling / Incident Monitoring</w:t>
            </w:r>
          </w:p>
        </w:tc>
        <w:tc>
          <w:tcPr/>
          <w:p>
            <w:pPr>
              <w:pStyle w:val="Compact"/>
              <w:jc w:val="left"/>
            </w:pPr>
            <w:r>
              <w:t xml:space="preserve">InfoBlox RPZ + SIEM</w:t>
            </w:r>
          </w:p>
        </w:tc>
        <w:tc>
          <w:tcPr/>
          <w:p>
            <w:pPr>
              <w:pStyle w:val="Compact"/>
              <w:jc w:val="left"/>
            </w:pPr>
            <w:r>
              <w:t xml:space="preserve">RPZ block events require manual review; no automated IR ticket generation</w:t>
            </w:r>
          </w:p>
        </w:tc>
        <w:tc>
          <w:tcPr/>
          <w:p>
            <w:pPr>
              <w:pStyle w:val="Compact"/>
              <w:jc w:val="left"/>
            </w:pPr>
            <w:r>
              <w:t xml:space="preserve">RPZ block events auto-generate SIEM IR tickets; DNSSEC failure triggers SOC alerts; DNS exfiltration detection with behavioral baselining</w:t>
            </w:r>
          </w:p>
        </w:tc>
        <w:tc>
          <w:tcPr/>
          <w:p>
            <w:pPr>
              <w:pStyle w:val="Compact"/>
              <w:jc w:val="left"/>
            </w:pPr>
            <w:r>
              <w:t xml:space="preserve">IR playbook; RPZ alert-to-ticket pipeline</w:t>
            </w:r>
          </w:p>
        </w:tc>
      </w:tr>
      <w:tr>
        <w:tc>
          <w:tcPr/>
          <w:p>
            <w:pPr>
              <w:pStyle w:val="Compact"/>
              <w:jc w:val="left"/>
            </w:pPr>
            <w:r>
              <w:rPr>
                <w:bCs/>
                <w:b/>
              </w:rPr>
              <w:t xml:space="preserve">SI-3 / SI-3(1)</w:t>
            </w:r>
          </w:p>
        </w:tc>
        <w:tc>
          <w:tcPr/>
          <w:p>
            <w:pPr>
              <w:pStyle w:val="Compact"/>
              <w:jc w:val="left"/>
            </w:pPr>
            <w:r>
              <w:t xml:space="preserve">Malware Protection</w:t>
            </w:r>
          </w:p>
        </w:tc>
        <w:tc>
          <w:tcPr/>
          <w:p>
            <w:pPr>
              <w:pStyle w:val="Compact"/>
              <w:jc w:val="left"/>
            </w:pPr>
            <w:r>
              <w:t xml:space="preserve">InfoBlox RPZ + TIDE</w:t>
            </w:r>
          </w:p>
        </w:tc>
        <w:tc>
          <w:tcPr/>
          <w:p>
            <w:pPr>
              <w:pStyle w:val="Compact"/>
              <w:jc w:val="left"/>
            </w:pPr>
            <w:r>
              <w:t xml:space="preserve">No DNS-layer malware blocking; C2 domains reachable via standard resolution</w:t>
            </w:r>
          </w:p>
        </w:tc>
        <w:tc>
          <w:tcPr/>
          <w:p>
            <w:pPr>
              <w:pStyle w:val="Compact"/>
              <w:jc w:val="left"/>
            </w:pPr>
            <w:r>
              <w:t xml:space="preserve">DNS-layer malware blocking via RPZ prevents resolution of C2 domains, ransomware callback, and phishing sites using CISA PDNS + TIDE feed</w:t>
            </w:r>
          </w:p>
        </w:tc>
        <w:tc>
          <w:tcPr/>
          <w:p>
            <w:pPr>
              <w:pStyle w:val="Compact"/>
              <w:jc w:val="left"/>
            </w:pPr>
            <w:r>
              <w:t xml:space="preserve">RPZ block count by threat category; TIDE feed update log</w:t>
            </w:r>
          </w:p>
        </w:tc>
      </w:tr>
      <w:tr>
        <w:tc>
          <w:tcPr/>
          <w:p>
            <w:pPr>
              <w:pStyle w:val="Compact"/>
              <w:jc w:val="left"/>
            </w:pPr>
            <w:r>
              <w:rPr>
                <w:bCs/>
                <w:b/>
              </w:rPr>
              <w:t xml:space="preserve">PL-8</w:t>
            </w:r>
          </w:p>
        </w:tc>
        <w:tc>
          <w:tcPr/>
          <w:p>
            <w:pPr>
              <w:pStyle w:val="Compact"/>
              <w:jc w:val="left"/>
            </w:pPr>
            <w:r>
              <w:t xml:space="preserve">Security and Privacy Architectures</w:t>
            </w:r>
          </w:p>
        </w:tc>
        <w:tc>
          <w:tcPr/>
          <w:p>
            <w:pPr>
              <w:pStyle w:val="Compact"/>
              <w:jc w:val="left"/>
            </w:pPr>
            <w:r>
              <w:t xml:space="preserve">InfoBlox DDI (inherited ATO)</w:t>
            </w:r>
          </w:p>
        </w:tc>
        <w:tc>
          <w:tcPr/>
          <w:p>
            <w:pPr>
              <w:pStyle w:val="Compact"/>
              <w:jc w:val="left"/>
            </w:pPr>
            <w:r>
              <w:t xml:space="preserve">DDI architecture described informally or not at all in SSP</w:t>
            </w:r>
          </w:p>
        </w:tc>
        <w:tc>
          <w:tcPr/>
          <w:p>
            <w:pPr>
              <w:pStyle w:val="Compact"/>
              <w:jc w:val="left"/>
            </w:pPr>
            <w:r>
              <w:t xml:space="preserve">Unified DDI architecture documented in SSP; InfoBlox FedRAMP ATO cited as inherited control for DDI layer</w:t>
            </w:r>
          </w:p>
        </w:tc>
        <w:tc>
          <w:tcPr/>
          <w:p>
            <w:pPr>
              <w:pStyle w:val="Compact"/>
              <w:jc w:val="left"/>
            </w:pPr>
            <w:r>
              <w:t xml:space="preserve">SSP Section 13 architecture narrative</w:t>
            </w:r>
          </w:p>
        </w:tc>
      </w:tr>
    </w:tbl>
    <w:p>
      <w:pPr>
        <w:pStyle w:val="BodyText"/>
      </w:pPr>
      <w:r>
        <w:rPr>
          <w:bCs/>
          <w:b/>
        </w:rPr>
        <w:t xml:space="preserve">Controls closed: 16</w:t>
      </w:r>
      <w:r>
        <w:t xml:space="preserve"> </w:t>
      </w:r>
      <w:r>
        <w:t xml:space="preserve">(SC-20, SC-20(1), SC-21, SC-22, SC-7, SC-7(7), SC-8, SC-8(1), CM-8, CM-8(1), CM-2/CM-6, SA-9, IA-5(2), IA-9, AU-2/AU-12, IR-4/IR-5, SI-3/SI-3(1), PL-8)</w:t>
      </w:r>
    </w:p>
    <w:p>
      <w:pPr>
        <w:pStyle w:val="BlockText"/>
      </w:pPr>
      <w:r>
        <w:rPr>
          <w:bCs/>
          <w:b/>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38"/>
    <w:bookmarkEnd w:id="39"/>
    <w:bookmarkStart w:id="41" w:name="Xbcc0181b0bedc83b159769420775f7f4bd5b5ee"/>
    <w:p>
      <w:pPr>
        <w:pStyle w:val="Heading1"/>
      </w:pPr>
      <w:r>
        <w:t xml:space="preserve">Part 2 — Network Access Control: 802.1X Closes the Device Identity Gap</w:t>
      </w:r>
    </w:p>
    <w:bookmarkStart w:id="40" w:name="what-this-document-addresses-1"/>
    <w:p>
      <w:pPr>
        <w:pStyle w:val="Heading2"/>
      </w:pPr>
      <w:r>
        <w:t xml:space="preserve">What This Document Addresses</w:t>
      </w:r>
    </w:p>
    <w:p>
      <w:pPr>
        <w:pStyle w:val="FirstParagraph"/>
      </w:pPr>
      <w:r>
        <w:t xml:space="preserve">Every control in this series that evaluates</w:t>
      </w:r>
      <w:r>
        <w:t xml:space="preserve"> </w:t>
      </w:r>
      <w:r>
        <w:rPr>
          <w:iCs/>
          <w:i/>
        </w:rPr>
        <w:t xml:space="preserve">who</w:t>
      </w:r>
      <w:r>
        <w:t xml:space="preserve"> </w:t>
      </w:r>
      <w:r>
        <w:t xml:space="preserve">is requesting assumes the</w:t>
      </w:r>
      <w:r>
        <w:t xml:space="preserve"> </w:t>
      </w:r>
      <w:r>
        <w:t xml:space="preserve">network already knows</w:t>
      </w:r>
      <w:r>
        <w:t xml:space="preserve"> </w:t>
      </w:r>
      <w:r>
        <w:rPr>
          <w:iCs/>
          <w:i/>
        </w:rPr>
        <w:t xml:space="preserve">what</w:t>
      </w:r>
      <w:r>
        <w:t xml:space="preserve"> </w:t>
      </w:r>
      <w:r>
        <w:t xml:space="preserve">is requesting. Part 2 closes that assumption</w:t>
      </w:r>
      <w:r>
        <w:t xml:space="preserve"> </w:t>
      </w:r>
      <w:r>
        <w:t xml:space="preserve">with five interlocking mechanisms:</w:t>
      </w:r>
    </w:p>
    <w:p>
      <w:pPr>
        <w:numPr>
          <w:ilvl w:val="0"/>
          <w:numId w:val="1010"/>
        </w:numPr>
        <w:pStyle w:val="Compact"/>
      </w:pPr>
      <w:r>
        <w:rPr>
          <w:bCs/>
          <w:b/>
        </w:rPr>
        <w:t xml:space="preserve">802.1X EAP-TLS</w:t>
      </w:r>
      <w:r>
        <w:t xml:space="preserve"> </w:t>
      </w:r>
      <w:r>
        <w:t xml:space="preserve">— port authentication with TPM-backed machine certificates issued via Intune SCEP</w:t>
      </w:r>
    </w:p>
    <w:p>
      <w:pPr>
        <w:numPr>
          <w:ilvl w:val="0"/>
          <w:numId w:val="1010"/>
        </w:numPr>
        <w:pStyle w:val="Compact"/>
      </w:pPr>
      <w:r>
        <w:rPr>
          <w:bCs/>
          <w:b/>
        </w:rPr>
        <w:t xml:space="preserve">RADIUS with Change of Authorization (CoA)</w:t>
      </w:r>
      <w:r>
        <w:t xml:space="preserve"> </w:t>
      </w:r>
      <w:r>
        <w:t xml:space="preserve">— real-time policy enforcement; non-compliant devices moved to the remediation VLAN without requiring re-authentication</w:t>
      </w:r>
    </w:p>
    <w:p>
      <w:pPr>
        <w:numPr>
          <w:ilvl w:val="0"/>
          <w:numId w:val="1010"/>
        </w:numPr>
        <w:pStyle w:val="Compact"/>
      </w:pPr>
      <w:r>
        <w:rPr>
          <w:bCs/>
          <w:b/>
        </w:rPr>
        <w:t xml:space="preserve">NAC policy tiers</w:t>
      </w:r>
      <w:r>
        <w:t xml:space="preserve"> </w:t>
      </w:r>
      <w:r>
        <w:t xml:space="preserve">— production, remediation, quarantine, guest, and IoT lanes with distinct access rights</w:t>
      </w:r>
    </w:p>
    <w:p>
      <w:pPr>
        <w:numPr>
          <w:ilvl w:val="0"/>
          <w:numId w:val="1010"/>
        </w:numPr>
        <w:pStyle w:val="Compact"/>
      </w:pPr>
      <w:r>
        <w:rPr>
          <w:bCs/>
          <w:b/>
        </w:rPr>
        <w:t xml:space="preserve">DHCP fingerprinting</w:t>
      </w:r>
      <w:r>
        <w:t xml:space="preserve"> </w:t>
      </w:r>
      <w:r>
        <w:t xml:space="preserve">— device classification feeding IPAM as the authoritative device inventory</w:t>
      </w:r>
    </w:p>
    <w:p>
      <w:pPr>
        <w:numPr>
          <w:ilvl w:val="0"/>
          <w:numId w:val="1010"/>
        </w:numPr>
        <w:pStyle w:val="Compact"/>
      </w:pPr>
      <w:r>
        <w:rPr>
          <w:bCs/>
          <w:b/>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Cs/>
          <w:b/>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40"/>
    <w:bookmarkEnd w:id="41"/>
    <w:bookmarkStart w:id="43" w:name="X405ac1b7341efa237459fac366bded0a1afb81b"/>
    <w:p>
      <w:pPr>
        <w:pStyle w:val="Heading1"/>
      </w:pPr>
      <w:r>
        <w:t xml:space="preserve">Part 3 — Certificates &amp; Tokens: Cryptographic Identity</w:t>
      </w:r>
    </w:p>
    <w:bookmarkStart w:id="42" w:name="what-this-document-addresses-2"/>
    <w:p>
      <w:pPr>
        <w:pStyle w:val="Heading2"/>
      </w:pPr>
      <w:r>
        <w:t xml:space="preserve">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numPr>
          <w:ilvl w:val="0"/>
          <w:numId w:val="1011"/>
        </w:numPr>
        <w:pStyle w:val="Compact"/>
      </w:pPr>
      <w:r>
        <w:rPr>
          <w:bCs/>
          <w:b/>
        </w:rPr>
        <w:t xml:space="preserve">PKI as a naming-plane function</w:t>
      </w:r>
      <w:r>
        <w:t xml:space="preserve"> </w:t>
      </w:r>
      <w:r>
        <w:t xml:space="preserve">— certificate issuance, revocation, CAA, and ACME DNS-01 live in the same substrate as Part 1’s DDI</w:t>
      </w:r>
    </w:p>
    <w:p>
      <w:pPr>
        <w:numPr>
          <w:ilvl w:val="0"/>
          <w:numId w:val="1011"/>
        </w:numPr>
        <w:pStyle w:val="Compact"/>
      </w:pPr>
      <w:r>
        <w:rPr>
          <w:bCs/>
          <w:b/>
        </w:rPr>
        <w:t xml:space="preserve">Certificate lifecycle automation</w:t>
      </w:r>
      <w:r>
        <w:t xml:space="preserve"> </w:t>
      </w:r>
      <w:r>
        <w:t xml:space="preserve">— short-lived certificates with automated ACME renewal; expiry linked to IP host records</w:t>
      </w:r>
    </w:p>
    <w:p>
      <w:pPr>
        <w:numPr>
          <w:ilvl w:val="0"/>
          <w:numId w:val="1011"/>
        </w:numPr>
        <w:pStyle w:val="Compact"/>
      </w:pPr>
      <w:r>
        <w:rPr>
          <w:bCs/>
          <w:b/>
        </w:rPr>
        <w:t xml:space="preserve">Token-based identity</w:t>
      </w:r>
      <w:r>
        <w:t xml:space="preserve"> </w:t>
      </w:r>
      <w:r>
        <w:t xml:space="preserve">— OAuth 2.0/OIDC, certificate-based authentication (CBA), and phishing-resistant MFA per BOD 25-01</w:t>
      </w:r>
    </w:p>
    <w:p>
      <w:pPr>
        <w:numPr>
          <w:ilvl w:val="0"/>
          <w:numId w:val="1011"/>
        </w:numPr>
        <w:pStyle w:val="Compact"/>
      </w:pPr>
      <w:r>
        <w:rPr>
          <w:bCs/>
          <w:b/>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Cs/>
          <w:b/>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42"/>
    <w:bookmarkEnd w:id="43"/>
    <w:bookmarkStart w:id="45" w:name="Xad942f67734931d78957af9cb177c97b21b47d5"/>
    <w:p>
      <w:pPr>
        <w:pStyle w:val="Heading1"/>
      </w:pPr>
      <w:r>
        <w:t xml:space="preserve">Part 4 — HRIT and the Identity &amp; Organizational SSOT</w:t>
      </w:r>
    </w:p>
    <w:bookmarkStart w:id="44" w:name="what-this-document-addresses-3"/>
    <w:p>
      <w:pPr>
        <w:pStyle w:val="Heading2"/>
      </w:pPr>
      <w:r>
        <w:t xml:space="preserve">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numPr>
          <w:ilvl w:val="0"/>
          <w:numId w:val="1012"/>
        </w:numPr>
        <w:pStyle w:val="Compact"/>
      </w:pPr>
      <w:r>
        <w:rPr>
          <w:bCs/>
          <w:b/>
        </w:rPr>
        <w:t xml:space="preserve">Joiner/mover/leaver lifecycle</w:t>
      </w:r>
      <w:r>
        <w:t xml:space="preserve"> </w:t>
      </w:r>
      <w:r>
        <w:t xml:space="preserve">— HR events drive same-day account creation, role change, and deprovisioning into Entra ID via SCIM</w:t>
      </w:r>
    </w:p>
    <w:p>
      <w:pPr>
        <w:numPr>
          <w:ilvl w:val="0"/>
          <w:numId w:val="1012"/>
        </w:numPr>
        <w:pStyle w:val="Compact"/>
      </w:pPr>
      <w:r>
        <w:rPr>
          <w:bCs/>
          <w:b/>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numPr>
          <w:ilvl w:val="0"/>
          <w:numId w:val="1012"/>
        </w:numPr>
        <w:pStyle w:val="Compact"/>
      </w:pPr>
      <w:r>
        <w:rPr>
          <w:bCs/>
          <w:b/>
        </w:rPr>
        <w:t xml:space="preserve">Identifier management</w:t>
      </w:r>
      <w:r>
        <w:t xml:space="preserve"> </w:t>
      </w:r>
      <w:r>
        <w:t xml:space="preserve">— canonical identifiers anchored to the HR record flow through all downstream systems</w:t>
      </w:r>
    </w:p>
    <w:p>
      <w:pPr>
        <w:numPr>
          <w:ilvl w:val="0"/>
          <w:numId w:val="1012"/>
        </w:numPr>
        <w:pStyle w:val="Compact"/>
      </w:pPr>
      <w:r>
        <w:rPr>
          <w:bCs/>
          <w:b/>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Cs/>
          <w:b/>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w:t>
      </w:r>
      <w:r>
        <w:t xml:space="preserve">tokens work only if the</w:t>
      </w:r>
      <w:r>
        <w:t xml:space="preserve"> </w:t>
      </w:r>
      <w:r>
        <w:t xml:space="preserve">authorization they assert is correct</w:t>
      </w:r>
      <w:r>
        <w:t xml:space="preserve">”</w:t>
      </w:r>
      <w:r>
        <w:t xml:space="preserve">) resolves here.</w:t>
      </w:r>
    </w:p>
    <w:p>
      <w:r>
        <w:pict>
          <v:rect style="width:0;height:1.5pt" o:hralign="center" o:hrstd="t" o:hr="t"/>
        </w:pict>
      </w:r>
    </w:p>
    <w:bookmarkEnd w:id="44"/>
    <w:bookmarkEnd w:id="45"/>
    <w:bookmarkStart w:id="48" w:name="X10b5b70168cf61c697e46bca4109e68839cb391"/>
    <w:p>
      <w:pPr>
        <w:pStyle w:val="Heading1"/>
      </w:pPr>
      <w:r>
        <w:t xml:space="preserve">Part 5 — Network and Identity Modernization: Entra ID + ZTNA + Active Governance Closes 12 NIST Controls</w:t>
      </w:r>
    </w:p>
    <w:bookmarkStart w:id="46" w:name="what-this-document-addresses-4"/>
    <w:p>
      <w:pPr>
        <w:pStyle w:val="Heading2"/>
      </w:pPr>
      <w:r>
        <w:t xml:space="preserve">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numPr>
          <w:ilvl w:val="0"/>
          <w:numId w:val="1013"/>
        </w:numPr>
        <w:pStyle w:val="Compact"/>
      </w:pPr>
      <w:r>
        <w:rPr>
          <w:bCs/>
          <w:b/>
        </w:rPr>
        <w:t xml:space="preserve">Restore a single source of truth</w:t>
      </w:r>
      <w:r>
        <w:t xml:space="preserve"> </w:t>
      </w:r>
      <w:r>
        <w:t xml:space="preserve">— collapse twelve regional AD silos into one HR-derived authoritative identity model</w:t>
      </w:r>
    </w:p>
    <w:p>
      <w:pPr>
        <w:numPr>
          <w:ilvl w:val="0"/>
          <w:numId w:val="1013"/>
        </w:numPr>
        <w:pStyle w:val="Compact"/>
      </w:pPr>
      <w:r>
        <w:rPr>
          <w:bCs/>
          <w:b/>
        </w:rPr>
        <w:t xml:space="preserve">Deploy application-aware networking</w:t>
      </w:r>
      <w:r>
        <w:t xml:space="preserve"> </w:t>
      </w:r>
      <w:r>
        <w:t xml:space="preserve">— enforce policy at the application layer, not the IP/port layer</w:t>
      </w:r>
    </w:p>
    <w:p>
      <w:pPr>
        <w:numPr>
          <w:ilvl w:val="0"/>
          <w:numId w:val="1013"/>
        </w:numPr>
        <w:pStyle w:val="Compact"/>
      </w:pPr>
      <w:r>
        <w:rPr>
          <w:bCs/>
          <w:b/>
        </w:rPr>
        <w:t xml:space="preserve">Move from session-based to token-based identity</w:t>
      </w:r>
      <w:r>
        <w:t xml:space="preserve"> </w:t>
      </w:r>
      <w:r>
        <w:t xml:space="preserve">— replace Kerberos with Entra ID JWT tokens that carry cryptographic proof of authorization</w:t>
      </w:r>
    </w:p>
    <w:p>
      <w:pPr>
        <w:numPr>
          <w:ilvl w:val="0"/>
          <w:numId w:val="1013"/>
        </w:numPr>
        <w:pStyle w:val="Compact"/>
      </w:pPr>
      <w:r>
        <w:rPr>
          <w:bCs/>
          <w:b/>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46"/>
    <w:bookmarkStart w:id="47" w:name="nist-control-closure-part-5"/>
    <w:p>
      <w:pPr>
        <w:pStyle w:val="Heading2"/>
      </w:pPr>
      <w:r>
        <w:t xml:space="preserve">NIST Control Closure — Part 5</w:t>
      </w:r>
    </w:p>
    <w:p>
      <w:pPr>
        <w:pStyle w:val="TableCaption"/>
      </w:pPr>
      <w:r>
        <w:t xml:space="preserve">Part 5 — NIST SP 800-53 Rev 5 Control Closure: Entra ID + ZTNA + Active Governance {.striped .hover}</w:t>
      </w:r>
    </w:p>
    <w:tbl>
      <w:tblPr>
        <w:tblStyle w:val="Table"/>
        <w:tblW w:type="pct" w:w="5000"/>
        <w:tblLook w:firstRow="1" w:lastRow="0" w:firstColumn="0" w:lastColumn="0" w:noHBand="0" w:noVBand="0" w:val="0020"/>
        <w:jc w:val="start"/>
        <w:tblCaption w:val="Part 5 — NIST SP 800-53 Rev 5 Control Closure: Entra ID + ZTNA + Active Governanc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Modernization</w:t>
            </w:r>
          </w:p>
        </w:tc>
        <w:tc>
          <w:tcPr/>
          <w:p>
            <w:pPr>
              <w:pStyle w:val="Compact"/>
              <w:jc w:val="left"/>
            </w:pPr>
            <w:r>
              <w:t xml:space="preserve">With Entra ID + ZTNA + Active Governance</w:t>
            </w:r>
          </w:p>
        </w:tc>
        <w:tc>
          <w:tcPr/>
          <w:p>
            <w:pPr>
              <w:pStyle w:val="Compact"/>
              <w:jc w:val="left"/>
            </w:pPr>
            <w:r>
              <w:t xml:space="preserve">Authority</w:t>
            </w:r>
          </w:p>
        </w:tc>
      </w:tr>
      <w:tr>
        <w:tc>
          <w:tcPr/>
          <w:p>
            <w:pPr>
              <w:pStyle w:val="Compact"/>
              <w:jc w:val="left"/>
            </w:pPr>
            <w:r>
              <w:rPr>
                <w:bCs/>
                <w:b/>
              </w:rPr>
              <w:t xml:space="preserve">IA-2 / IA-2(1)</w:t>
            </w:r>
          </w:p>
        </w:tc>
        <w:tc>
          <w:tcPr/>
          <w:p>
            <w:pPr>
              <w:pStyle w:val="Compact"/>
              <w:jc w:val="left"/>
            </w:pPr>
            <w:r>
              <w:t xml:space="preserve">Identification and Authentication / MFA</w:t>
            </w:r>
          </w:p>
        </w:tc>
        <w:tc>
          <w:tcPr/>
          <w:p>
            <w:pPr>
              <w:pStyle w:val="Compact"/>
              <w:jc w:val="left"/>
            </w:pPr>
            <w:r>
              <w:t xml:space="preserve">Entra ID Conditional Access</w:t>
            </w:r>
          </w:p>
        </w:tc>
        <w:tc>
          <w:tcPr/>
          <w:p>
            <w:pPr>
              <w:pStyle w:val="Compact"/>
              <w:jc w:val="left"/>
            </w:pPr>
            <w:r>
              <w:t xml:space="preserve">Kerberos-based authentication; MFA optional and inconsistently applied; NTLM fallback generates opaque, unauditable authentication events</w:t>
            </w:r>
          </w:p>
        </w:tc>
        <w:tc>
          <w:tcPr/>
          <w:p>
            <w:pPr>
              <w:pStyle w:val="Compact"/>
              <w:jc w:val="left"/>
            </w:pPr>
            <w:r>
              <w:t xml:space="preserve">Entra ID Conditional Access enforces phishing-resistant MFA (CBA/FIDO2) for every access request; NTLM eliminated; every authentication event generates a structured log</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Intune MDM + Conditional Access</w:t>
            </w:r>
          </w:p>
        </w:tc>
        <w:tc>
          <w:tcPr/>
          <w:p>
            <w:pPr>
              <w:pStyle w:val="Compact"/>
              <w:jc w:val="left"/>
            </w:pPr>
            <w:r>
              <w:t xml:space="preserve">Device identity derived from AD computer object; no compliance posture check; non-compliant devices indistinguishable from compliant</w:t>
            </w:r>
          </w:p>
        </w:tc>
        <w:tc>
          <w:tcPr/>
          <w:p>
            <w:pPr>
              <w:pStyle w:val="Compact"/>
              <w:jc w:val="left"/>
            </w:pPr>
            <w:r>
              <w:t xml:space="preserve">Intune MDM posture fed to Conditional Access as input to every access decision; non-compliant devices denied access regardless of user credential validity</w:t>
            </w:r>
          </w:p>
        </w:tc>
        <w:tc>
          <w:tcPr/>
          <w:p>
            <w:pPr>
              <w:pStyle w:val="Compact"/>
              <w:jc w:val="left"/>
            </w:pPr>
            <w:r>
              <w:t xml:space="preserve">OMB M-22-09 §3; CISA ZTMM Devices pillar</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CBA Pipeline</w:t>
            </w:r>
          </w:p>
        </w:tc>
        <w:tc>
          <w:tcPr/>
          <w:p>
            <w:pPr>
              <w:pStyle w:val="Compact"/>
              <w:jc w:val="left"/>
            </w:pPr>
            <w:r>
              <w:t xml:space="preserve">Kerberos ticket lifecycle managed implicitly; no structured credential inventory; password policy inconsistent across twelve regional domains</w:t>
            </w:r>
          </w:p>
        </w:tc>
        <w:tc>
          <w:tcPr/>
          <w:p>
            <w:pPr>
              <w:pStyle w:val="Compact"/>
              <w:jc w:val="left"/>
            </w:pPr>
            <w:r>
              <w:t xml:space="preserve">Entra ID manages credential lifecycle centrally; CBA certificates issued and revoked via structured pipeline; phishing-resistant credentials enforced by policy</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ID + HRIT Integration</w:t>
            </w:r>
          </w:p>
        </w:tc>
        <w:tc>
          <w:tcPr/>
          <w:p>
            <w:pPr>
              <w:pStyle w:val="Compact"/>
              <w:jc w:val="left"/>
            </w:pPr>
            <w:r>
              <w:t xml:space="preserve">AD accounts managed per-region; no authoritative HR-derived source; orphaned accounts persist after offboarding; twelve regional OU trees with no unified view</w:t>
            </w:r>
          </w:p>
        </w:tc>
        <w:tc>
          <w:tcPr/>
          <w:p>
            <w:pPr>
              <w:pStyle w:val="Compact"/>
              <w:jc w:val="left"/>
            </w:pPr>
            <w:r>
              <w:t xml:space="preserve">HR system drives authoritative account lifecycle (create, modify, deprovision) via HRIT integration; every account traceable to an authoritative HR record; orphan account detection automated</w:t>
            </w:r>
          </w:p>
        </w:tc>
        <w:tc>
          <w:tcPr/>
          <w:p>
            <w:pPr>
              <w:pStyle w:val="Compact"/>
              <w:jc w:val="left"/>
            </w:pPr>
            <w:r>
              <w:t xml:space="preserve">FICAM Architecture; Evidence Act (2018)</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ZTNA — Per-session Policy</w:t>
            </w:r>
          </w:p>
        </w:tc>
        <w:tc>
          <w:tcPr/>
          <w:p>
            <w:pPr>
              <w:pStyle w:val="Compact"/>
              <w:jc w:val="left"/>
            </w:pPr>
            <w:r>
              <w:t xml:space="preserve">Access rights encoded in regional OU structure; no per-session verification; once authenticated, access determined by static group membership</w:t>
            </w:r>
          </w:p>
        </w:tc>
        <w:tc>
          <w:tcPr/>
          <w:p>
            <w:pPr>
              <w:pStyle w:val="Compact"/>
              <w:jc w:val="left"/>
            </w:pPr>
            <w:r>
              <w:t xml:space="preserve">ZTNA enforces per-session, per-application access based on real-time identity, device posture, and data classification; no standing access; least-privilege enforced per request</w:t>
            </w:r>
          </w:p>
        </w:tc>
        <w:tc>
          <w:tcPr/>
          <w:p>
            <w:pPr>
              <w:pStyle w:val="Compact"/>
              <w:jc w:val="left"/>
            </w:pPr>
            <w:r>
              <w:t xml:space="preserve">NIST SP 800-207; OMB M-22-09</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ZTNA Stack</w:t>
            </w:r>
          </w:p>
        </w:tc>
        <w:tc>
          <w:tcPr/>
          <w:p>
            <w:pPr>
              <w:pStyle w:val="Compact"/>
              <w:jc w:val="left"/>
            </w:pPr>
            <w:r>
              <w:t xml:space="preserve">Network perimeter as primary enforcement boundary; application identity not verified at network layer</w:t>
            </w:r>
          </w:p>
        </w:tc>
        <w:tc>
          <w:tcPr/>
          <w:p>
            <w:pPr>
              <w:pStyle w:val="Compact"/>
              <w:jc w:val="left"/>
            </w:pPr>
            <w:r>
              <w:t xml:space="preserve">SASE/ZTNA stack enforces application-layer policy; user identity, device posture, application, and data type all present at enforcement point</w:t>
            </w:r>
          </w:p>
        </w:tc>
        <w:tc>
          <w:tcPr/>
          <w:p>
            <w:pPr>
              <w:pStyle w:val="Compact"/>
              <w:jc w:val="left"/>
            </w:pPr>
            <w:r>
              <w:t xml:space="preserve">NIST SP 800-207; TIC 3.0 Use Cases E/F</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ZTNA — Micro-tunnels</w:t>
            </w:r>
          </w:p>
        </w:tc>
        <w:tc>
          <w:tcPr/>
          <w:p>
            <w:pPr>
              <w:pStyle w:val="Compact"/>
              <w:jc w:val="left"/>
            </w:pPr>
            <w:r>
              <w:t xml:space="preserve">VPN extends network trust to remote users; compromised endpoint inside VPN has same access as trusted administrator</w:t>
            </w:r>
          </w:p>
        </w:tc>
        <w:tc>
          <w:tcPr/>
          <w:p>
            <w:pPr>
              <w:pStyle w:val="Compact"/>
              <w:jc w:val="left"/>
            </w:pPr>
            <w:r>
              <w:t xml:space="preserve">ZTNA replaces VPN; per-application micro-tunnels established per-session; compromised endpoint gains access only to the specific application authorized for that session</w:t>
            </w:r>
          </w:p>
        </w:tc>
        <w:tc>
          <w:tcPr/>
          <w:p>
            <w:pPr>
              <w:pStyle w:val="Compact"/>
              <w:jc w:val="left"/>
            </w:pPr>
            <w:r>
              <w:t xml:space="preserve">OMB M-22-09 §4; CISA ZTMM Networks pillar</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Active Governance Control Plane</w:t>
            </w:r>
          </w:p>
        </w:tc>
        <w:tc>
          <w:tcPr/>
          <w:p>
            <w:pPr>
              <w:pStyle w:val="Compact"/>
              <w:jc w:val="left"/>
            </w:pPr>
            <w:r>
              <w:t xml:space="preserve">Device inventory derived from AD computer objects; SDN environments not covered; four environments with no unified view</w:t>
            </w:r>
          </w:p>
        </w:tc>
        <w:tc>
          <w:tcPr/>
          <w:p>
            <w:pPr>
              <w:pStyle w:val="Compact"/>
              <w:jc w:val="left"/>
            </w:pPr>
            <w:r>
              <w:t xml:space="preserve">Active Governance control plane maintains authoritative device inventory across all four environments; IPAM integration adds IP-to-device-to-user linkage</w:t>
            </w:r>
          </w:p>
        </w:tc>
        <w:tc>
          <w:tcPr/>
          <w:p>
            <w:pPr>
              <w:pStyle w:val="Compact"/>
              <w:jc w:val="left"/>
            </w:pPr>
            <w:r>
              <w:t xml:space="preserve">NIST SP 800-53 Rev 5 CM-8; Federal Data Strategy</w:t>
            </w:r>
          </w:p>
        </w:tc>
      </w:tr>
      <w:tr>
        <w:tc>
          <w:tcPr/>
          <w:p>
            <w:pPr>
              <w:pStyle w:val="Compact"/>
              <w:jc w:val="left"/>
            </w:pPr>
            <w:r>
              <w:rPr>
                <w:bCs/>
                <w:b/>
              </w:rPr>
              <w:t xml:space="preserve">SI-12</w:t>
            </w:r>
          </w:p>
        </w:tc>
        <w:tc>
          <w:tcPr/>
          <w:p>
            <w:pPr>
              <w:pStyle w:val="Compact"/>
              <w:jc w:val="left"/>
            </w:pPr>
            <w:r>
              <w:t xml:space="preserve">Information Management and Retention</w:t>
            </w:r>
          </w:p>
        </w:tc>
        <w:tc>
          <w:tcPr/>
          <w:p>
            <w:pPr>
              <w:pStyle w:val="Compact"/>
              <w:jc w:val="left"/>
            </w:pPr>
            <w:r>
              <w:t xml:space="preserve">Entra ID HRIT + SSOT</w:t>
            </w:r>
          </w:p>
        </w:tc>
        <w:tc>
          <w:tcPr/>
          <w:p>
            <w:pPr>
              <w:pStyle w:val="Compact"/>
              <w:jc w:val="left"/>
            </w:pPr>
            <w:r>
              <w:t xml:space="preserve">No authoritative data lineage; regional databases with incompatible schemas; no cross-region reconciliation</w:t>
            </w:r>
          </w:p>
        </w:tc>
        <w:tc>
          <w:tcPr/>
          <w:p>
            <w:pPr>
              <w:pStyle w:val="Compact"/>
              <w:jc w:val="left"/>
            </w:pPr>
            <w:r>
              <w:t xml:space="preserve">Single source of truth with documented data lineage from authoritative source to downstream consumer; Evidence Act compliance achieved</w:t>
            </w:r>
          </w:p>
        </w:tc>
        <w:tc>
          <w:tcPr/>
          <w:p>
            <w:pPr>
              <w:pStyle w:val="Compact"/>
              <w:jc w:val="left"/>
            </w:pPr>
            <w:r>
              <w:t xml:space="preserve">Evidence Act (2018); NIST SP 800-53 Rev 5 SI-12</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ID + ZTNA Session Logs</w:t>
            </w:r>
          </w:p>
        </w:tc>
        <w:tc>
          <w:tcPr/>
          <w:p>
            <w:pPr>
              <w:pStyle w:val="Compact"/>
              <w:jc w:val="left"/>
            </w:pPr>
            <w:r>
              <w:t xml:space="preserve">Authentication events opaque (NTLM); application-layer actions not captured; no structured audit trail linking user to action to data</w:t>
            </w:r>
          </w:p>
        </w:tc>
        <w:tc>
          <w:tcPr/>
          <w:p>
            <w:pPr>
              <w:pStyle w:val="Compact"/>
              <w:jc w:val="left"/>
            </w:pPr>
            <w:r>
              <w:t xml:space="preserve">Every Entra ID authentication event structured and queryable; every ZTNA session record includes user, device, application, action, data type, timestamp; machine-readable</w:t>
            </w:r>
          </w:p>
        </w:tc>
        <w:tc>
          <w:tcPr/>
          <w:p>
            <w:pPr>
              <w:pStyle w:val="Compact"/>
              <w:jc w:val="left"/>
            </w:pPr>
            <w:r>
              <w:t xml:space="preserve">NIST SP 800-53 Rev 5 AU-2, AU-12; FedRAMP 20x KSIs</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Active Governance Control Plane</w:t>
            </w:r>
          </w:p>
        </w:tc>
        <w:tc>
          <w:tcPr/>
          <w:p>
            <w:pPr>
              <w:pStyle w:val="Compact"/>
              <w:jc w:val="left"/>
            </w:pPr>
            <w:r>
              <w:t xml:space="preserve">Point-in-time assessments; no automated detection of configuration drift from authorized baseline</w:t>
            </w:r>
          </w:p>
        </w:tc>
        <w:tc>
          <w:tcPr/>
          <w:p>
            <w:pPr>
              <w:pStyle w:val="Compact"/>
              <w:jc w:val="left"/>
            </w:pPr>
            <w:r>
              <w:t xml:space="preserve">Active Governance observes actual state continuously, classifies deviation as drift, and generates machine-readable reconciliation records; desired-vs-actual gap is the ConMon artifact</w:t>
            </w:r>
          </w:p>
        </w:tc>
        <w:tc>
          <w:tcPr/>
          <w:p>
            <w:pPr>
              <w:pStyle w:val="Compact"/>
              <w:jc w:val="left"/>
            </w:pPr>
            <w:r>
              <w:t xml:space="preserve">NIST SP 800-37 Rev 2 CA-7; FedRAMP 20x Consolidated Rules</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ZTNA + DNS</w:t>
            </w:r>
          </w:p>
        </w:tc>
        <w:tc>
          <w:tcPr/>
          <w:p>
            <w:pPr>
              <w:pStyle w:val="Compact"/>
              <w:jc w:val="left"/>
            </w:pPr>
            <w:r>
              <w:t xml:space="preserve">Network perimeter as boundary; application-layer exfiltration undetected</w:t>
            </w:r>
          </w:p>
        </w:tc>
        <w:tc>
          <w:tcPr/>
          <w:p>
            <w:pPr>
              <w:pStyle w:val="Compact"/>
              <w:jc w:val="left"/>
            </w:pPr>
            <w:r>
              <w:t xml:space="preserve">Application-aware boundary enforcement; SASE inspects all egress traffic at application layer; DNS-layer boundary enforcement via RPZ</w:t>
            </w:r>
          </w:p>
        </w:tc>
        <w:tc>
          <w:tcPr/>
          <w:p>
            <w:pPr>
              <w:pStyle w:val="Compact"/>
              <w:jc w:val="left"/>
            </w:pPr>
            <w:r>
              <w:t xml:space="preserve">NIST SP 800-207; TIC 3.0</w:t>
            </w:r>
          </w:p>
        </w:tc>
      </w:tr>
      <w:tr>
        <w:tc>
          <w:tcPr/>
          <w:p>
            <w:pPr>
              <w:pStyle w:val="Compact"/>
              <w:jc w:val="left"/>
            </w:pPr>
            <w:r>
              <w:rPr>
                <w:bCs/>
                <w:b/>
              </w:rPr>
              <w:t xml:space="preserve">SC-20 / SC-21</w:t>
            </w:r>
          </w:p>
        </w:tc>
        <w:tc>
          <w:tcPr/>
          <w:p>
            <w:pPr>
              <w:pStyle w:val="Compact"/>
              <w:jc w:val="left"/>
            </w:pPr>
            <w:r>
              <w:t xml:space="preserve">Secure DNS (Authoritative / Recursive)</w:t>
            </w:r>
          </w:p>
        </w:tc>
        <w:tc>
          <w:tcPr/>
          <w:p>
            <w:pPr>
              <w:pStyle w:val="Compact"/>
              <w:jc w:val="left"/>
            </w:pPr>
            <w:r>
              <w:t xml:space="preserve">Active Governance + InfoBlox</w:t>
            </w:r>
          </w:p>
        </w:tc>
        <w:tc>
          <w:tcPr/>
          <w:p>
            <w:pPr>
              <w:pStyle w:val="Compact"/>
              <w:jc w:val="left"/>
            </w:pPr>
            <w:r>
              <w:t xml:space="preserve">DNS security dependent on per-environment tools with no unified policy</w:t>
            </w:r>
          </w:p>
        </w:tc>
        <w:tc>
          <w:tcPr/>
          <w:p>
            <w:pPr>
              <w:pStyle w:val="Compact"/>
              <w:jc w:val="left"/>
            </w:pPr>
            <w:r>
              <w:t xml:space="preserve">Unified DNS security enforced via governance control plane; DNSSEC and RPZ applied consistently across all environments</w:t>
            </w:r>
          </w:p>
        </w:tc>
        <w:tc>
          <w:tcPr/>
          <w:p>
            <w:pPr>
              <w:pStyle w:val="Compact"/>
              <w:jc w:val="left"/>
            </w:pPr>
            <w:r>
              <w:t xml:space="preserve">NIST SP 800-53 Rev 5 SC-20, SC-21</w:t>
            </w:r>
          </w:p>
        </w:tc>
      </w:tr>
    </w:tbl>
    <w:p>
      <w:pPr>
        <w:pStyle w:val="BodyText"/>
      </w:pPr>
      <w:r>
        <w:rPr>
          <w:bCs/>
          <w:b/>
        </w:rPr>
        <w:t xml:space="preserve">Controls closed: 12</w:t>
      </w:r>
      <w:r>
        <w:t xml:space="preserve"> </w:t>
      </w:r>
      <w:r>
        <w:t xml:space="preserve">(IA-2/IA-2(1), IA-3, IA-5, AC-2, AC-3, AC-4, AC-17, CM-8, SI-12, AU-2/AU-12, CA-7, SC-7, SC-20/SC-21)</w:t>
      </w:r>
    </w:p>
    <w:p>
      <w:pPr>
        <w:pStyle w:val="BlockText"/>
      </w:pPr>
      <w:r>
        <w:rPr>
          <w:bCs/>
          <w:b/>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47"/>
    <w:bookmarkEnd w:id="48"/>
    <w:bookmarkStart w:id="51" w:name="X2d88030fe1371762303048ee6244da6478ed0f7"/>
    <w:p>
      <w:pPr>
        <w:pStyle w:val="Heading1"/>
      </w:pPr>
      <w:r>
        <w:t xml:space="preserve">Part 6 — Telecommunications Modernization: SD-WAN + SASE Closes 7 NIST Controls</w:t>
      </w:r>
    </w:p>
    <w:bookmarkStart w:id="49" w:name="what-this-document-addresses-5"/>
    <w:p>
      <w:pPr>
        <w:pStyle w:val="Heading2"/>
      </w:pPr>
      <w:r>
        <w:t xml:space="preserve">What This Document Addresses</w:t>
      </w:r>
    </w:p>
    <w:p>
      <w:pPr>
        <w:pStyle w:val="FirstParagraph"/>
      </w:pPr>
      <w:r>
        <w:t xml:space="preserve">The agency operates two telecommunications platforms with shared network dependencies:</w:t>
      </w:r>
      <w:r>
        <w:t xml:space="preserve"> </w:t>
      </w:r>
      <w:r>
        <w:rPr>
          <w:bCs/>
          <w:b/>
        </w:rPr>
        <w:t xml:space="preserve">Amazon Connect</w:t>
      </w:r>
      <w:r>
        <w:t xml:space="preserve"> </w:t>
      </w:r>
      <w:r>
        <w:t xml:space="preserve">(the N8NN national inbound contact center, running on AWS commercial by specific authorized exception) and</w:t>
      </w:r>
      <w:r>
        <w:t xml:space="preserve"> </w:t>
      </w:r>
      <w:r>
        <w:rPr>
          <w:bCs/>
          <w:b/>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Cs/>
          <w:b/>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Cs/>
          <w:i/>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Cs/>
          <w:i/>
        </w:rPr>
        <w:t xml:space="preserve">The Closure Necessity Doctrine</w:t>
      </w:r>
      <w:r>
        <w:t xml:space="preserve"> </w:t>
      </w:r>
      <w:r>
        <w:t xml:space="preserve">above.</w:t>
      </w:r>
    </w:p>
    <w:bookmarkEnd w:id="49"/>
    <w:bookmarkStart w:id="50" w:name="nist-control-closure-part-6"/>
    <w:p>
      <w:pPr>
        <w:pStyle w:val="Heading2"/>
      </w:pPr>
      <w:r>
        <w:t xml:space="preserve">NIST Control Closure — Part 6</w:t>
      </w:r>
    </w:p>
    <w:p>
      <w:pPr>
        <w:pStyle w:val="TableCaption"/>
      </w:pPr>
      <w:r>
        <w:t xml:space="preserve">Part 6 — NIST SP 800-53 Rev 5 Control Closure: SD-WAN + SASE for Telecommunications {.striped .hover}</w:t>
      </w:r>
    </w:p>
    <w:tbl>
      <w:tblPr>
        <w:tblStyle w:val="Table"/>
        <w:tblW w:type="pct" w:w="5000"/>
        <w:tblLook w:firstRow="1" w:lastRow="0" w:firstColumn="0" w:lastColumn="0" w:noHBand="0" w:noVBand="0" w:val="0020"/>
        <w:jc w:val="start"/>
        <w:tblCaption w:val="Part 6 — NIST SP 800-53 Rev 5 Control Closure: SD-WAN + SASE for Telecommunication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SD-WAN / SASE</w:t>
            </w:r>
          </w:p>
        </w:tc>
        <w:tc>
          <w:tcPr/>
          <w:p>
            <w:pPr>
              <w:pStyle w:val="Compact"/>
              <w:jc w:val="left"/>
            </w:pPr>
            <w:r>
              <w:t xml:space="preserve">With SD-WAN / SASE Stack</w:t>
            </w:r>
          </w:p>
        </w:tc>
        <w:tc>
          <w:tcPr/>
          <w:p>
            <w:pPr>
              <w:pStyle w:val="Compact"/>
              <w:jc w:val="left"/>
            </w:pPr>
            <w:r>
              <w:t xml:space="preserve">What Provides It</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CASB</w:t>
            </w:r>
          </w:p>
        </w:tc>
        <w:tc>
          <w:tcPr/>
          <w:p>
            <w:pPr>
              <w:pStyle w:val="Compact"/>
              <w:jc w:val="left"/>
            </w:pPr>
            <w:r>
              <w:t xml:space="preserve">Traffic inspected at IP/port layer only; application identity unknown; GCC vs. commercial M365 indistinguishable at network layer</w:t>
            </w:r>
          </w:p>
        </w:tc>
        <w:tc>
          <w:tcPr/>
          <w:p>
            <w:pPr>
              <w:pStyle w:val="Compact"/>
              <w:jc w:val="left"/>
            </w:pPr>
            <w:r>
              <w:t xml:space="preserve">Application-layer identification of destination application, data type, and boundary classification; GCC vs. commercial distinguished and enforced</w:t>
            </w:r>
          </w:p>
        </w:tc>
        <w:tc>
          <w:tcPr/>
          <w:p>
            <w:pPr>
              <w:pStyle w:val="Compact"/>
              <w:jc w:val="left"/>
            </w:pPr>
            <w:r>
              <w:t xml:space="preserve">CASB in SASE stack</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SWG / FWaaS</w:t>
            </w:r>
          </w:p>
        </w:tc>
        <w:tc>
          <w:tcPr/>
          <w:p>
            <w:pPr>
              <w:pStyle w:val="Compact"/>
              <w:jc w:val="left"/>
            </w:pPr>
            <w:r>
              <w:t xml:space="preserve">No application-layer inspection on DIA path; C2 traffic on port 443 indistinguishable from legitimate HTTPS; DNS exfiltration undetected</w:t>
            </w:r>
          </w:p>
        </w:tc>
        <w:tc>
          <w:tcPr/>
          <w:p>
            <w:pPr>
              <w:pStyle w:val="Compact"/>
              <w:jc w:val="left"/>
            </w:pPr>
            <w:r>
              <w:t xml:space="preserve">Application-layer inspection at every DIA egress point; SWG detects C2 on standard ports, DNS exfiltration, and data loss patterns</w:t>
            </w:r>
          </w:p>
        </w:tc>
        <w:tc>
          <w:tcPr/>
          <w:p>
            <w:pPr>
              <w:pStyle w:val="Compact"/>
              <w:jc w:val="left"/>
            </w:pPr>
            <w:r>
              <w:t xml:space="preserve">SWG / FWaaS in SASE stack</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SD-WAN — IPsec</w:t>
            </w:r>
          </w:p>
        </w:tc>
        <w:tc>
          <w:tcPr/>
          <w:p>
            <w:pPr>
              <w:pStyle w:val="Compact"/>
              <w:jc w:val="left"/>
            </w:pPr>
            <w:r>
              <w:t xml:space="preserve">DIA circuit is unencrypted at the network layer; encryption depends entirely on application-layer TLS with no network-layer guarantee</w:t>
            </w:r>
          </w:p>
        </w:tc>
        <w:tc>
          <w:tcPr/>
          <w:p>
            <w:pPr>
              <w:pStyle w:val="Compact"/>
              <w:jc w:val="left"/>
            </w:pPr>
            <w:r>
              <w:t xml:space="preserve">SD-WAN IPsec tunnel encrypts all traffic at the network layer regardless of application-layer encryption state</w:t>
            </w:r>
          </w:p>
        </w:tc>
        <w:tc>
          <w:tcPr/>
          <w:p>
            <w:pPr>
              <w:pStyle w:val="Compact"/>
              <w:jc w:val="left"/>
            </w:pPr>
            <w:r>
              <w:t xml:space="preserve">SD-WAN IPsec overlay</w:t>
            </w:r>
          </w:p>
        </w:tc>
      </w:tr>
      <w:tr>
        <w:tc>
          <w:tcPr/>
          <w:p>
            <w:pPr>
              <w:pStyle w:val="Compact"/>
              <w:jc w:val="left"/>
            </w:pPr>
            <w:r>
              <w:rPr>
                <w:bCs/>
                <w:b/>
              </w:rPr>
              <w:t xml:space="preserve">SI-3</w:t>
            </w:r>
          </w:p>
        </w:tc>
        <w:tc>
          <w:tcPr/>
          <w:p>
            <w:pPr>
              <w:pStyle w:val="Compact"/>
              <w:jc w:val="left"/>
            </w:pPr>
            <w:r>
              <w:t xml:space="preserve">Malware Protection</w:t>
            </w:r>
          </w:p>
        </w:tc>
        <w:tc>
          <w:tcPr/>
          <w:p>
            <w:pPr>
              <w:pStyle w:val="Compact"/>
              <w:jc w:val="left"/>
            </w:pPr>
            <w:r>
              <w:t xml:space="preserve">SASE — SWG SSL Inspection</w:t>
            </w:r>
          </w:p>
        </w:tc>
        <w:tc>
          <w:tcPr/>
          <w:p>
            <w:pPr>
              <w:pStyle w:val="Compact"/>
              <w:jc w:val="left"/>
            </w:pPr>
            <w:r>
              <w:t xml:space="preserve">No inline malware inspection on DIA path; malware reaches endpoints before detection</w:t>
            </w:r>
          </w:p>
        </w:tc>
        <w:tc>
          <w:tcPr/>
          <w:p>
            <w:pPr>
              <w:pStyle w:val="Compact"/>
              <w:jc w:val="left"/>
            </w:pPr>
            <w:r>
              <w:t xml:space="preserve">SSL inspection and malware scanning inline at SASE PoP nearest to field office; sub-100ms inspection latency</w:t>
            </w:r>
          </w:p>
        </w:tc>
        <w:tc>
          <w:tcPr/>
          <w:p>
            <w:pPr>
              <w:pStyle w:val="Compact"/>
              <w:jc w:val="left"/>
            </w:pPr>
            <w:r>
              <w:t xml:space="preserve">SWG with SSL inspection in SASE stack</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SD-WAN — AAN Telemetry</w:t>
            </w:r>
          </w:p>
        </w:tc>
        <w:tc>
          <w:tcPr/>
          <w:p>
            <w:pPr>
              <w:pStyle w:val="Compact"/>
              <w:jc w:val="left"/>
            </w:pPr>
            <w:r>
              <w:t xml:space="preserve">IP flow logs available; application-layer behavior (user, device, application, data type, action) not captured</w:t>
            </w:r>
          </w:p>
        </w:tc>
        <w:tc>
          <w:tcPr/>
          <w:p>
            <w:pPr>
              <w:pStyle w:val="Compact"/>
              <w:jc w:val="left"/>
            </w:pPr>
            <w:r>
              <w:t xml:space="preserve">Application-layer telemetry captures user identity, device posture, application accessed, data type, and behavioral pattern per session</w:t>
            </w:r>
          </w:p>
        </w:tc>
        <w:tc>
          <w:tcPr/>
          <w:p>
            <w:pPr>
              <w:pStyle w:val="Compact"/>
              <w:jc w:val="left"/>
            </w:pPr>
            <w:r>
              <w:t xml:space="preserve">AAN application-layer telemetry</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SASE — Session Logging</w:t>
            </w:r>
          </w:p>
        </w:tc>
        <w:tc>
          <w:tcPr/>
          <w:p>
            <w:pPr>
              <w:pStyle w:val="Compact"/>
              <w:jc w:val="left"/>
            </w:pPr>
            <w:r>
              <w:t xml:space="preserve">IP flow logs record source IP, destination IP, port, bytes; user identity, application, action, and data type absent from logs</w:t>
            </w:r>
          </w:p>
        </w:tc>
        <w:tc>
          <w:tcPr/>
          <w:p>
            <w:pPr>
              <w:pStyle w:val="Compact"/>
              <w:jc w:val="left"/>
            </w:pPr>
            <w:r>
              <w:t xml:space="preserve">Every session record includes: user identity (from IdP), device posture (from MDM), application (from DPI), action, data type, timestamp — structured, queryable</w:t>
            </w:r>
          </w:p>
        </w:tc>
        <w:tc>
          <w:tcPr/>
          <w:p>
            <w:pPr>
              <w:pStyle w:val="Compact"/>
              <w:jc w:val="left"/>
            </w:pPr>
            <w:r>
              <w:t xml:space="preserve">AAN logging via SASE stack</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SASE — Per-session Records</w:t>
            </w:r>
          </w:p>
        </w:tc>
        <w:tc>
          <w:tcPr/>
          <w:p>
            <w:pPr>
              <w:pStyle w:val="Compact"/>
              <w:jc w:val="left"/>
            </w:pPr>
            <w:r>
              <w:t xml:space="preserve">Point-in-time assessments; no per-session posture verification</w:t>
            </w:r>
          </w:p>
        </w:tc>
        <w:tc>
          <w:tcPr/>
          <w:p>
            <w:pPr>
              <w:pStyle w:val="Compact"/>
              <w:jc w:val="left"/>
            </w:pPr>
            <w:r>
              <w:t xml:space="preserve">Per-session: identity verified against IdP, device posture checked against MDM, access consistent with policy, session outcome recorded — machine-readable</w:t>
            </w:r>
          </w:p>
        </w:tc>
        <w:tc>
          <w:tcPr/>
          <w:p>
            <w:pPr>
              <w:pStyle w:val="Compact"/>
              <w:jc w:val="left"/>
            </w:pPr>
            <w:r>
              <w:t xml:space="preserve">SASE stack per-session records</w:t>
            </w:r>
          </w:p>
        </w:tc>
      </w:tr>
    </w:tbl>
    <w:p>
      <w:pPr>
        <w:pStyle w:val="BodyText"/>
      </w:pPr>
      <w:r>
        <w:rPr>
          <w:bCs/>
          <w:b/>
        </w:rPr>
        <w:t xml:space="preserve">Controls closed: 7</w:t>
      </w:r>
      <w:r>
        <w:t xml:space="preserve"> </w:t>
      </w:r>
      <w:r>
        <w:t xml:space="preserve">(AC-4, SC-7, SC-8, SI-3, SI-4, AU-2/AU-12, CA-7)</w:t>
      </w:r>
    </w:p>
    <w:p>
      <w:pPr>
        <w:pStyle w:val="BodyText"/>
      </w:pPr>
      <w:r>
        <w:rPr>
          <w:bCs/>
          <w:b/>
        </w:rPr>
        <w:t xml:space="preserve">Additionally required for Amazon Connect .com boundary compliance:</w:t>
      </w:r>
    </w:p>
    <w:p>
      <w:pPr>
        <w:pStyle w:val="TableCaption"/>
      </w:pPr>
      <w:r>
        <w:t xml:space="preserve">Part 6 — Additional Controls for Amazon Connect Boundary Compliance {.striped .hover}</w:t>
      </w:r>
    </w:p>
    <w:tbl>
      <w:tblPr>
        <w:tblStyle w:val="Table"/>
        <w:tblW w:type="pct" w:w="5000"/>
        <w:tblLook w:firstRow="1" w:lastRow="0" w:firstColumn="0" w:lastColumn="0" w:noHBand="0" w:noVBand="0" w:val="0020"/>
        <w:jc w:val="start"/>
        <w:tblCaption w:val="Part 6 — Additional Controls for Amazon Connect Boundary Compliance {.striped .hover}"/>
      </w:tblPr>
      <w:tblGrid>
        <w:gridCol w:w="1980"/>
        <w:gridCol w:w="1980"/>
        <w:gridCol w:w="1980"/>
        <w:gridCol w:w="1980"/>
      </w:tblGrid>
      <w:tr>
        <w:trPr>
          <w:tblHeader w:val="true"/>
        </w:trPr>
        <w:tc>
          <w:tcPr/>
          <w:p>
            <w:pPr>
              <w:pStyle w:val="Compact"/>
              <w:jc w:val="left"/>
            </w:pPr>
            <w:r>
              <w:t xml:space="preserve">NIST Control</w:t>
            </w:r>
          </w:p>
        </w:tc>
        <w:tc>
          <w:tcPr/>
          <w:p>
            <w:pPr>
              <w:pStyle w:val="Compact"/>
              <w:jc w:val="left"/>
            </w:pPr>
            <w:r>
              <w:t xml:space="preserve">Technology</w:t>
            </w:r>
          </w:p>
        </w:tc>
        <w:tc>
          <w:tcPr/>
          <w:p>
            <w:pPr>
              <w:pStyle w:val="Compact"/>
              <w:jc w:val="left"/>
            </w:pPr>
            <w:r>
              <w:t xml:space="preserve">Requirement</w:t>
            </w:r>
          </w:p>
        </w:tc>
        <w:tc>
          <w:tcPr/>
          <w:p>
            <w:pPr>
              <w:pStyle w:val="Compact"/>
              <w:jc w:val="left"/>
            </w:pPr>
            <w:r>
              <w:t xml:space="preserve">What Satisfies It</w:t>
            </w:r>
          </w:p>
        </w:tc>
      </w:tr>
      <w:tr>
        <w:tc>
          <w:tcPr/>
          <w:p>
            <w:pPr>
              <w:pStyle w:val="Compact"/>
              <w:jc w:val="left"/>
            </w:pPr>
            <w:r>
              <w:rPr>
                <w:bCs/>
                <w:b/>
              </w:rPr>
              <w:t xml:space="preserve">SA-9</w:t>
            </w:r>
          </w:p>
        </w:tc>
        <w:tc>
          <w:tcPr/>
          <w:p>
            <w:pPr>
              <w:pStyle w:val="Compact"/>
              <w:jc w:val="left"/>
            </w:pPr>
            <w:r>
              <w:t xml:space="preserve">SSP Documentation + InfoBlox DNS</w:t>
            </w:r>
          </w:p>
        </w:tc>
        <w:tc>
          <w:tcPr/>
          <w:p>
            <w:pPr>
              <w:pStyle w:val="Compact"/>
              <w:jc w:val="left"/>
            </w:pPr>
            <w:r>
              <w:t xml:space="preserve">Amazon Connect is an external system service; .com exception must be documented in SSP SA-9 with authorization basis, data types, and boundary obligations</w:t>
            </w:r>
          </w:p>
        </w:tc>
        <w:tc>
          <w:tcPr/>
          <w:p>
            <w:pPr>
              <w:pStyle w:val="Compact"/>
              <w:jc w:val="left"/>
            </w:pPr>
            <w:r>
              <w:t xml:space="preserve">SSP SA-9 entry with ATO exception narrative, call recording S3 location, and API call logging</w:t>
            </w:r>
          </w:p>
        </w:tc>
      </w:tr>
      <w:tr>
        <w:tc>
          <w:tcPr/>
          <w:p>
            <w:pPr>
              <w:pStyle w:val="Compact"/>
              <w:jc w:val="left"/>
            </w:pPr>
            <w:r>
              <w:rPr>
                <w:bCs/>
                <w:b/>
              </w:rPr>
              <w:t xml:space="preserve">AU-9</w:t>
            </w:r>
          </w:p>
        </w:tc>
        <w:tc>
          <w:tcPr/>
          <w:p>
            <w:pPr>
              <w:pStyle w:val="Compact"/>
              <w:jc w:val="left"/>
            </w:pPr>
            <w:r>
              <w:t xml:space="preserve">AWS KMS + S3 Access Logging</w:t>
            </w:r>
          </w:p>
        </w:tc>
        <w:tc>
          <w:tcPr/>
          <w:p>
            <w:pPr>
              <w:pStyle w:val="Compact"/>
              <w:jc w:val="left"/>
            </w:pPr>
            <w:r>
              <w:t xml:space="preserve">Call recording access controls and audit logging for recordings containing PII</w:t>
            </w:r>
          </w:p>
        </w:tc>
        <w:tc>
          <w:tcPr/>
          <w:p>
            <w:pPr>
              <w:pStyle w:val="Compact"/>
              <w:jc w:val="left"/>
            </w:pPr>
            <w:r>
              <w:t xml:space="preserve">S3 bucket access logging + KMS key management documentation</w:t>
            </w:r>
          </w:p>
        </w:tc>
      </w:tr>
      <w:tr>
        <w:tc>
          <w:tcPr/>
          <w:p>
            <w:pPr>
              <w:pStyle w:val="Compact"/>
              <w:jc w:val="left"/>
            </w:pPr>
            <w:r>
              <w:rPr>
                <w:bCs/>
                <w:b/>
              </w:rPr>
              <w:t xml:space="preserve">IA-8</w:t>
            </w:r>
          </w:p>
        </w:tc>
        <w:tc>
          <w:tcPr/>
          <w:p>
            <w:pPr>
              <w:pStyle w:val="Compact"/>
              <w:jc w:val="left"/>
            </w:pPr>
            <w:r>
              <w:t xml:space="preserve">Entra ID SAML Federation</w:t>
            </w:r>
          </w:p>
        </w:tc>
        <w:tc>
          <w:tcPr/>
          <w:p>
            <w:pPr>
              <w:pStyle w:val="Compact"/>
              <w:jc w:val="left"/>
            </w:pPr>
            <w:r>
              <w:t xml:space="preserve">Federated authentication events (Entra ID to Amazon Connect SAML assertions) must be logged and KSI-verifiable</w:t>
            </w:r>
          </w:p>
        </w:tc>
        <w:tc>
          <w:tcPr/>
          <w:p>
            <w:pPr>
              <w:pStyle w:val="Compact"/>
              <w:jc w:val="left"/>
            </w:pPr>
            <w:r>
              <w:t xml:space="preserve">SAML assertion log from Entra ID federated to Amazon Connect</w:t>
            </w:r>
          </w:p>
        </w:tc>
      </w:tr>
    </w:tbl>
    <w:p>
      <w:pPr>
        <w:pStyle w:val="BlockText"/>
      </w:pPr>
      <w:r>
        <w:rPr>
          <w:bCs/>
          <w:b/>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50"/>
    <w:bookmarkEnd w:id="51"/>
    <w:bookmarkStart w:id="55" w:name="Xd4e84a07e291e418566bcb97aa439fd3597f127"/>
    <w:p>
      <w:pPr>
        <w:pStyle w:val="Heading1"/>
      </w:pPr>
      <w:r>
        <w:t xml:space="preserve">Parts 7–9 — SQL Server and Database Architecture</w:t>
      </w:r>
    </w:p>
    <w:bookmarkStart w:id="52" w:name="what-these-documents-address"/>
    <w:p>
      <w:pPr>
        <w:pStyle w:val="Heading2"/>
      </w:pPr>
      <w:r>
        <w:t xml:space="preserve">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Cs/>
          <w:b/>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Cs/>
          <w:b/>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Cs/>
          <w:b/>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52"/>
    <w:bookmarkStart w:id="53" w:name="Xc74b659e897be830e678314afc220cdcc22e191"/>
    <w:p>
      <w:pPr>
        <w:pStyle w:val="Heading2"/>
      </w:pPr>
      <w:r>
        <w:t xml:space="preserve">NIST Control Closure — Parts 7 and 8 (SQL Server Authentication)</w:t>
      </w:r>
    </w:p>
    <w:p>
      <w:pPr>
        <w:pStyle w:val="TableCaption"/>
      </w:pPr>
      <w:r>
        <w:t xml:space="preserve">Parts 7-8 — NIST SP 800-53 Rev 5 Control Closure: SQL Server Authentication Modernization {.striped .hover}</w:t>
      </w:r>
    </w:p>
    <w:tbl>
      <w:tblPr>
        <w:tblStyle w:val="Table"/>
        <w:tblW w:type="pct" w:w="5000"/>
        <w:tblLook w:firstRow="1" w:lastRow="0" w:firstColumn="0" w:lastColumn="0" w:noHBand="0" w:noVBand="0" w:val="0020"/>
        <w:jc w:val="start"/>
        <w:tblCaption w:val="Parts 7-8 — NIST SP 800-53 Rev 5 Control Closure: SQL Server Authentication Modernization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SQL Modernization</w:t>
            </w:r>
          </w:p>
        </w:tc>
        <w:tc>
          <w:tcPr/>
          <w:p>
            <w:pPr>
              <w:pStyle w:val="Compact"/>
              <w:jc w:val="left"/>
            </w:pPr>
            <w:r>
              <w:t xml:space="preserve">With Arc + Entra for SQL</w:t>
            </w:r>
          </w:p>
        </w:tc>
        <w:tc>
          <w:tcPr/>
          <w:p>
            <w:pPr>
              <w:pStyle w:val="Compact"/>
              <w:jc w:val="left"/>
            </w:pPr>
            <w:r>
              <w:t xml:space="preserve">Authority</w:t>
            </w:r>
          </w:p>
        </w:tc>
      </w:tr>
      <w:tr>
        <w:tc>
          <w:tcPr/>
          <w:p>
            <w:pPr>
              <w:pStyle w:val="Compact"/>
              <w:jc w:val="left"/>
            </w:pPr>
            <w:r>
              <w:rPr>
                <w:bCs/>
                <w:b/>
              </w:rPr>
              <w:t xml:space="preserve">IA-2</w:t>
            </w:r>
          </w:p>
        </w:tc>
        <w:tc>
          <w:tcPr/>
          <w:p>
            <w:pPr>
              <w:pStyle w:val="Compact"/>
              <w:jc w:val="left"/>
            </w:pPr>
            <w:r>
              <w:t xml:space="preserve">Identification and Authentication</w:t>
            </w:r>
          </w:p>
        </w:tc>
        <w:tc>
          <w:tcPr/>
          <w:p>
            <w:pPr>
              <w:pStyle w:val="Compact"/>
              <w:jc w:val="left"/>
            </w:pPr>
            <w:r>
              <w:t xml:space="preserve">Entra ID for SQL</w:t>
            </w:r>
          </w:p>
        </w:tc>
        <w:tc>
          <w:tcPr/>
          <w:p>
            <w:pPr>
              <w:pStyle w:val="Compact"/>
              <w:jc w:val="left"/>
            </w:pPr>
            <w:r>
              <w:t xml:space="preserve">SQL logins and Windows Integrated Auth (NTLM) in use; NTLM events audit-opaque</w:t>
            </w:r>
          </w:p>
        </w:tc>
        <w:tc>
          <w:tcPr/>
          <w:p>
            <w:pPr>
              <w:pStyle w:val="Compact"/>
              <w:jc w:val="left"/>
            </w:pPr>
            <w:r>
              <w:t xml:space="preserve">Entra token-based auth for all connections; every authentication produces a structured, token-level event</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Azure Arc</w:t>
            </w:r>
          </w:p>
        </w:tc>
        <w:tc>
          <w:tcPr/>
          <w:p>
            <w:pPr>
              <w:pStyle w:val="Compact"/>
              <w:jc w:val="left"/>
            </w:pPr>
            <w:r>
              <w:t xml:space="preserve">SQL Server host identity derived from AD computer object; cloud workloads have no verifiable device identity</w:t>
            </w:r>
          </w:p>
        </w:tc>
        <w:tc>
          <w:tcPr/>
          <w:p>
            <w:pPr>
              <w:pStyle w:val="Compact"/>
              <w:jc w:val="left"/>
            </w:pPr>
            <w:r>
              <w:t xml:space="preserve">Arc Managed Identity cryptographically binds server identity to Arc enrollment; identity verifiable at any Entra endpoint</w:t>
            </w:r>
          </w:p>
        </w:tc>
        <w:tc>
          <w:tcPr/>
          <w:p>
            <w:pPr>
              <w:pStyle w:val="Compact"/>
              <w:jc w:val="left"/>
            </w:pPr>
            <w:r>
              <w:t xml:space="preserve">EO 14028; NIST SP 800-207</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Managed Identity</w:t>
            </w:r>
          </w:p>
        </w:tc>
        <w:tc>
          <w:tcPr/>
          <w:p>
            <w:pPr>
              <w:pStyle w:val="Compact"/>
              <w:jc w:val="left"/>
            </w:pPr>
            <w:r>
              <w:t xml:space="preserve">SQL logins store password hashes in SQL Server; no centralized rotation; orphaned credentials persist</w:t>
            </w:r>
          </w:p>
        </w:tc>
        <w:tc>
          <w:tcPr/>
          <w:p>
            <w:pPr>
              <w:pStyle w:val="Compact"/>
              <w:jc w:val="left"/>
            </w:pPr>
            <w:r>
              <w:t xml:space="preserve">All stored SQL credentials eliminated; Managed Identity connections require no credential; Entra manages all credential lifecycle</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dynamic groups</w:t>
            </w:r>
          </w:p>
        </w:tc>
        <w:tc>
          <w:tcPr/>
          <w:p>
            <w:pPr>
              <w:pStyle w:val="Compact"/>
              <w:jc w:val="left"/>
            </w:pPr>
            <w:r>
              <w:t xml:space="preserve">SQL access provisioned manually by DBA on ticket; no HR-derived lifecycle; orphaned access not detected at offboarding</w:t>
            </w:r>
          </w:p>
        </w:tc>
        <w:tc>
          <w:tcPr/>
          <w:p>
            <w:pPr>
              <w:pStyle w:val="Compact"/>
              <w:jc w:val="left"/>
            </w:pPr>
            <w:r>
              <w:t xml:space="preserve">SQL access derived from Entra dynamic group membership driven by HR attributes; access lifecycle tracks employment status automatically</w:t>
            </w:r>
          </w:p>
        </w:tc>
        <w:tc>
          <w:tcPr/>
          <w:p>
            <w:pPr>
              <w:pStyle w:val="Compact"/>
              <w:jc w:val="left"/>
            </w:pPr>
            <w:r>
              <w:t xml:space="preserve">FICAM Architecture</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Database roles + Entra groups</w:t>
            </w:r>
          </w:p>
        </w:tc>
        <w:tc>
          <w:tcPr/>
          <w:p>
            <w:pPr>
              <w:pStyle w:val="Compact"/>
              <w:jc w:val="left"/>
            </w:pPr>
            <w:r>
              <w:t xml:space="preserve">Static database role grants; no real-time lifecycle; access persists after role change</w:t>
            </w:r>
          </w:p>
        </w:tc>
        <w:tc>
          <w:tcPr/>
          <w:p>
            <w:pPr>
              <w:pStyle w:val="Compact"/>
              <w:jc w:val="left"/>
            </w:pPr>
            <w:r>
              <w:t xml:space="preserve">Database roles mapped to Entra groups; group membership continuously reconciled with HR system; access current with actual role</w:t>
            </w:r>
          </w:p>
        </w:tc>
        <w:tc>
          <w:tcPr/>
          <w:p>
            <w:pPr>
              <w:pStyle w:val="Compact"/>
              <w:jc w:val="left"/>
            </w:pPr>
            <w:r>
              <w:t xml:space="preserve">NIST SP 800-207</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Entra Conditional Access</w:t>
            </w:r>
          </w:p>
        </w:tc>
        <w:tc>
          <w:tcPr/>
          <w:p>
            <w:pPr>
              <w:pStyle w:val="Compact"/>
              <w:jc w:val="left"/>
            </w:pPr>
            <w:r>
              <w:t xml:space="preserve">SQL connections from remote/contractor systems use same auth as on-site; no device compliance check</w:t>
            </w:r>
          </w:p>
        </w:tc>
        <w:tc>
          <w:tcPr/>
          <w:p>
            <w:pPr>
              <w:pStyle w:val="Compact"/>
              <w:jc w:val="left"/>
            </w:pPr>
            <w:r>
              <w:t xml:space="preserve">Conditional Access enforces device compliance and MFA for all Entra-authenticated SQL connections from any location</w:t>
            </w:r>
          </w:p>
        </w:tc>
        <w:tc>
          <w:tcPr/>
          <w:p>
            <w:pPr>
              <w:pStyle w:val="Compact"/>
              <w:jc w:val="left"/>
            </w:pPr>
            <w:r>
              <w:t xml:space="preserve">OMB M-22-09 §4</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sign-in logs</w:t>
            </w:r>
          </w:p>
        </w:tc>
        <w:tc>
          <w:tcPr/>
          <w:p>
            <w:pPr>
              <w:pStyle w:val="Compact"/>
              <w:jc w:val="left"/>
            </w:pPr>
            <w:r>
              <w:t xml:space="preserve">NTLM auth events not token-level; no user-to-action-to-data correlation; pass-the-hash invisible to SIEM</w:t>
            </w:r>
          </w:p>
        </w:tc>
        <w:tc>
          <w:tcPr/>
          <w:p>
            <w:pPr>
              <w:pStyle w:val="Compact"/>
              <w:jc w:val="left"/>
            </w:pPr>
            <w:r>
              <w:t xml:space="preserve">Token-level audit event for every Entra-authenticated connection; structured, queryable, correlated to user, device, application</w:t>
            </w:r>
          </w:p>
        </w:tc>
        <w:tc>
          <w:tcPr/>
          <w:p>
            <w:pPr>
              <w:pStyle w:val="Compact"/>
              <w:jc w:val="left"/>
            </w:pPr>
            <w:r>
              <w:t xml:space="preserve">FedRAMP 20x KSIs; NIST SP 800-53</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Continuous compliance record</w:t>
            </w:r>
          </w:p>
        </w:tc>
        <w:tc>
          <w:tcPr/>
          <w:p>
            <w:pPr>
              <w:pStyle w:val="Compact"/>
              <w:jc w:val="left"/>
            </w:pPr>
            <w:r>
              <w:t xml:space="preserve">No continuous monitoring of SQL auth posture; point-in-time audit only</w:t>
            </w:r>
          </w:p>
        </w:tc>
        <w:tc>
          <w:tcPr/>
          <w:p>
            <w:pPr>
              <w:pStyle w:val="Compact"/>
              <w:jc w:val="left"/>
            </w:pPr>
            <w:r>
              <w:t xml:space="preserve">Daily machine-readable compliance export: login type inventory, NTLM event count, Managed Identity coverage, sa status</w:t>
            </w:r>
          </w:p>
        </w:tc>
        <w:tc>
          <w:tcPr/>
          <w:p>
            <w:pPr>
              <w:pStyle w:val="Compact"/>
              <w:jc w:val="left"/>
            </w:pPr>
            <w:r>
              <w:t xml:space="preserve">FedRAMP 20x Consolidated Rules</w:t>
            </w:r>
          </w:p>
        </w:tc>
      </w:tr>
      <w:tr>
        <w:tc>
          <w:tcPr/>
          <w:p>
            <w:pPr>
              <w:pStyle w:val="Compact"/>
              <w:jc w:val="left"/>
            </w:pPr>
            <w:r>
              <w:rPr>
                <w:bCs/>
                <w:b/>
              </w:rPr>
              <w:t xml:space="preserve">CM-2 / CM-8</w:t>
            </w:r>
          </w:p>
        </w:tc>
        <w:tc>
          <w:tcPr/>
          <w:p>
            <w:pPr>
              <w:pStyle w:val="Compact"/>
              <w:jc w:val="left"/>
            </w:pPr>
            <w:r>
              <w:t xml:space="preserve">Baseline Configuration / Component Inventory</w:t>
            </w:r>
          </w:p>
        </w:tc>
        <w:tc>
          <w:tcPr/>
          <w:p>
            <w:pPr>
              <w:pStyle w:val="Compact"/>
              <w:jc w:val="left"/>
            </w:pPr>
            <w:r>
              <w:t xml:space="preserve">SQL estate inventory</w:t>
            </w:r>
          </w:p>
        </w:tc>
        <w:tc>
          <w:tcPr/>
          <w:p>
            <w:pPr>
              <w:pStyle w:val="Compact"/>
              <w:jc w:val="left"/>
            </w:pPr>
            <w:r>
              <w:t xml:space="preserve">SQL Server instances not fully enumerated; login inventory stale; version and EoL posture undocumented</w:t>
            </w:r>
          </w:p>
        </w:tc>
        <w:tc>
          <w:tcPr/>
          <w:p>
            <w:pPr>
              <w:pStyle w:val="Compact"/>
              <w:jc w:val="left"/>
            </w:pPr>
            <w:r>
              <w:t xml:space="preserve">Complete instance inventory with version, auth type, login count, and dependency map; updated continuously</w:t>
            </w:r>
          </w:p>
        </w:tc>
        <w:tc>
          <w:tcPr/>
          <w:p>
            <w:pPr>
              <w:pStyle w:val="Compact"/>
              <w:jc w:val="left"/>
            </w:pPr>
            <w:r>
              <w:t xml:space="preserve">NIST SP 800-53 Rev 5 CM-8</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TLS + Arc certificate</w:t>
            </w:r>
          </w:p>
        </w:tc>
        <w:tc>
          <w:tcPr/>
          <w:p>
            <w:pPr>
              <w:pStyle w:val="Compact"/>
              <w:jc w:val="left"/>
            </w:pPr>
            <w:r>
              <w:t xml:space="preserve">SQL TLS certificate inventory undocumented; renewal not tracked; ADCS dependency unknown</w:t>
            </w:r>
          </w:p>
        </w:tc>
        <w:tc>
          <w:tcPr/>
          <w:p>
            <w:pPr>
              <w:pStyle w:val="Compact"/>
              <w:jc w:val="left"/>
            </w:pPr>
            <w:r>
              <w:t xml:space="preserve">TLS certificate inventory linked to IP host record; Arc manages server certificate; renewal tracked against CA</w:t>
            </w:r>
          </w:p>
        </w:tc>
        <w:tc>
          <w:tcPr/>
          <w:p>
            <w:pPr>
              <w:pStyle w:val="Compact"/>
              <w:jc w:val="left"/>
            </w:pPr>
            <w:r>
              <w:t xml:space="preserve">NIST SP 800-53 Rev 5 SC-8</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Zero-NTLM monitoring</w:t>
            </w:r>
          </w:p>
        </w:tc>
        <w:tc>
          <w:tcPr/>
          <w:p>
            <w:pPr>
              <w:pStyle w:val="Compact"/>
              <w:jc w:val="left"/>
            </w:pPr>
            <w:r>
              <w:t xml:space="preserve">NTLM authentication invisible to monitoring; pass-the-hash not detectable</w:t>
            </w:r>
          </w:p>
        </w:tc>
        <w:tc>
          <w:tcPr/>
          <w:p>
            <w:pPr>
              <w:pStyle w:val="Compact"/>
              <w:jc w:val="left"/>
            </w:pPr>
            <w:r>
              <w:t xml:space="preserve">Post-Phase C monitoring for NTLM recurrence; any NTLM event generates SIEM alert; zero-count assertion in compliance record</w:t>
            </w:r>
          </w:p>
        </w:tc>
        <w:tc>
          <w:tcPr/>
          <w:p>
            <w:pPr>
              <w:pStyle w:val="Compact"/>
              <w:jc w:val="left"/>
            </w:pPr>
            <w:r>
              <w:t xml:space="preserve">NIST SP 800-53 Rev 5 SI-4</w:t>
            </w:r>
          </w:p>
        </w:tc>
      </w:tr>
    </w:tbl>
    <w:p>
      <w:pPr>
        <w:pStyle w:val="BodyText"/>
      </w:pPr>
      <w:r>
        <w:rPr>
          <w:bCs/>
          <w:b/>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53"/>
    <w:bookmarkStart w:id="54" w:name="X49b810de19b49316cda83287164b25a1932c9dc"/>
    <w:p>
      <w:pPr>
        <w:pStyle w:val="Heading2"/>
      </w:pPr>
      <w:r>
        <w:t xml:space="preserve">NIST Control Closure — Part 9 (Database Architecture and Network Physics)</w:t>
      </w:r>
    </w:p>
    <w:p>
      <w:pPr>
        <w:pStyle w:val="TableCaption"/>
      </w:pPr>
      <w:r>
        <w:t xml:space="preserve">Part 9 — NIST SP 800-53 Rev 5 Control Closure: Database Consolidation and Network Physics {.striped .hover}</w:t>
      </w:r>
    </w:p>
    <w:tbl>
      <w:tblPr>
        <w:tblStyle w:val="Table"/>
        <w:tblW w:type="pct" w:w="5000"/>
        <w:tblLook w:firstRow="1" w:lastRow="0" w:firstColumn="0" w:lastColumn="0" w:noHBand="0" w:noVBand="0" w:val="0020"/>
        <w:jc w:val="start"/>
        <w:tblCaption w:val="Part 9 — NIST SP 800-53 Rev 5 Control Closure: Database Consolidation and Network Physic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Architectural Gap</w:t>
            </w:r>
          </w:p>
        </w:tc>
        <w:tc>
          <w:tcPr/>
          <w:p>
            <w:pPr>
              <w:pStyle w:val="Compact"/>
              <w:jc w:val="left"/>
            </w:pPr>
            <w:r>
              <w:t xml:space="preserve">With Correct Architecture</w:t>
            </w:r>
          </w:p>
        </w:tc>
        <w:tc>
          <w:tcPr/>
          <w:p>
            <w:pPr>
              <w:pStyle w:val="Compact"/>
              <w:jc w:val="left"/>
            </w:pPr>
            <w:r>
              <w:t xml:space="preserve">How Closed</w:t>
            </w:r>
          </w:p>
        </w:tc>
      </w:tr>
      <w:tr>
        <w:tc>
          <w:tcPr/>
          <w:p>
            <w:pPr>
              <w:pStyle w:val="Compact"/>
              <w:jc w:val="left"/>
            </w:pPr>
            <w:r>
              <w:rPr>
                <w:bCs/>
                <w:b/>
              </w:rPr>
              <w:t xml:space="preserve">SC-28</w:t>
            </w:r>
          </w:p>
        </w:tc>
        <w:tc>
          <w:tcPr/>
          <w:p>
            <w:pPr>
              <w:pStyle w:val="Compact"/>
              <w:jc w:val="left"/>
            </w:pPr>
            <w:r>
              <w:t xml:space="preserve">Protection of Information at Rest</w:t>
            </w:r>
          </w:p>
        </w:tc>
        <w:tc>
          <w:tcPr/>
          <w:p>
            <w:pPr>
              <w:pStyle w:val="Compact"/>
              <w:jc w:val="left"/>
            </w:pPr>
            <w:r>
              <w:t xml:space="preserve">SQL Server TDE</w:t>
            </w:r>
          </w:p>
        </w:tc>
        <w:tc>
          <w:tcPr/>
          <w:p>
            <w:pPr>
              <w:pStyle w:val="Compact"/>
              <w:jc w:val="left"/>
            </w:pPr>
            <w:r>
              <w:t xml:space="preserve">Data files on disk unencrypted unless separately configured; TDE not consistently applied</w:t>
            </w:r>
          </w:p>
        </w:tc>
        <w:tc>
          <w:tcPr/>
          <w:p>
            <w:pPr>
              <w:pStyle w:val="Compact"/>
              <w:jc w:val="left"/>
            </w:pPr>
            <w:r>
              <w:t xml:space="preserve">TDE with AES-256 enforced on all retained databases; key stored in Arc-managed certificate store</w:t>
            </w:r>
          </w:p>
        </w:tc>
        <w:tc>
          <w:tcPr/>
          <w:p>
            <w:pPr>
              <w:pStyle w:val="Compact"/>
              <w:jc w:val="left"/>
            </w:pPr>
            <w:r>
              <w:t xml:space="preserve">Database-level TDE configuration in deployment baseline</w:t>
            </w:r>
          </w:p>
        </w:tc>
      </w:tr>
      <w:tr>
        <w:tc>
          <w:tcPr/>
          <w:p>
            <w:pPr>
              <w:pStyle w:val="Compact"/>
              <w:jc w:val="left"/>
            </w:pPr>
            <w:r>
              <w:rPr>
                <w:bCs/>
                <w:b/>
              </w:rPr>
              <w:t xml:space="preserve">SC-5</w:t>
            </w:r>
          </w:p>
        </w:tc>
        <w:tc>
          <w:tcPr/>
          <w:p>
            <w:pPr>
              <w:pStyle w:val="Compact"/>
              <w:jc w:val="left"/>
            </w:pPr>
            <w:r>
              <w:t xml:space="preserve">Denial of Service Protection</w:t>
            </w:r>
          </w:p>
        </w:tc>
        <w:tc>
          <w:tcPr/>
          <w:p>
            <w:pPr>
              <w:pStyle w:val="Compact"/>
              <w:jc w:val="left"/>
            </w:pPr>
            <w:r>
              <w:t xml:space="preserve">SD-WAN QoS + lean/fat separation</w:t>
            </w:r>
          </w:p>
        </w:tc>
        <w:tc>
          <w:tcPr/>
          <w:p>
            <w:pPr>
              <w:pStyle w:val="Compact"/>
              <w:jc w:val="left"/>
            </w:pPr>
            <w:r>
              <w:t xml:space="preserve">Backup and replication traffic competes with consensus quorum ACKs on the same network path; bulk transfer can delay leader election</w:t>
            </w:r>
          </w:p>
        </w:tc>
        <w:tc>
          <w:tcPr/>
          <w:p>
            <w:pPr>
              <w:pStyle w:val="Compact"/>
              <w:jc w:val="left"/>
            </w:pPr>
            <w:r>
              <w:t xml:space="preserve">Lean lane carries heartbeats and quorum ACKs; fat lane carries backups and async replication; class separation enforced by SD-WAN QoS marking</w:t>
            </w:r>
          </w:p>
        </w:tc>
        <w:tc>
          <w:tcPr/>
          <w:p>
            <w:pPr>
              <w:pStyle w:val="Compact"/>
              <w:jc w:val="left"/>
            </w:pPr>
            <w:r>
              <w:t xml:space="preserve">SD-WAN traffic classification and per-class path policy</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SD-WAN IPsec on replication paths</w:t>
            </w:r>
          </w:p>
        </w:tc>
        <w:tc>
          <w:tcPr/>
          <w:p>
            <w:pPr>
              <w:pStyle w:val="Compact"/>
              <w:jc w:val="left"/>
            </w:pPr>
            <w:r>
              <w:t xml:space="preserve">Async replication streams may traverse unencrypted segments; no network-layer guarantee on replication traffic</w:t>
            </w:r>
          </w:p>
        </w:tc>
        <w:tc>
          <w:tcPr/>
          <w:p>
            <w:pPr>
              <w:pStyle w:val="Compact"/>
              <w:jc w:val="left"/>
            </w:pPr>
            <w:r>
              <w:t xml:space="preserve">SD-WAN IPsec overlay encrypts all inter-site database replication traffic at the network layer</w:t>
            </w:r>
          </w:p>
        </w:tc>
        <w:tc>
          <w:tcPr/>
          <w:p>
            <w:pPr>
              <w:pStyle w:val="Compact"/>
              <w:jc w:val="left"/>
            </w:pPr>
            <w:r>
              <w:t xml:space="preserve">SD-WAN IPsec on all database replication traffic paths</w:t>
            </w:r>
          </w:p>
        </w:tc>
      </w:tr>
      <w:tr>
        <w:tc>
          <w:tcPr/>
          <w:p>
            <w:pPr>
              <w:pStyle w:val="Compact"/>
              <w:jc w:val="left"/>
            </w:pPr>
            <w:r>
              <w:rPr>
                <w:bCs/>
                <w:b/>
              </w:rPr>
              <w:t xml:space="preserve">CA-3</w:t>
            </w:r>
          </w:p>
        </w:tc>
        <w:tc>
          <w:tcPr/>
          <w:p>
            <w:pPr>
              <w:pStyle w:val="Compact"/>
              <w:jc w:val="left"/>
            </w:pPr>
            <w:r>
              <w:t xml:space="preserve">Information Exchange</w:t>
            </w:r>
          </w:p>
        </w:tc>
        <w:tc>
          <w:tcPr/>
          <w:p>
            <w:pPr>
              <w:pStyle w:val="Compact"/>
              <w:jc w:val="left"/>
            </w:pPr>
            <w:r>
              <w:t xml:space="preserve">Token-scoped cross-system access</w:t>
            </w:r>
          </w:p>
        </w:tc>
        <w:tc>
          <w:tcPr/>
          <w:p>
            <w:pPr>
              <w:pStyle w:val="Compact"/>
              <w:jc w:val="left"/>
            </w:pPr>
            <w:r>
              <w:t xml:space="preserve">Cross-database access (linked servers, federated queries) authenticated via passthrough or stored credential</w:t>
            </w:r>
          </w:p>
        </w:tc>
        <w:tc>
          <w:tcPr/>
          <w:p>
            <w:pPr>
              <w:pStyle w:val="Compact"/>
              <w:jc w:val="left"/>
            </w:pPr>
            <w:r>
              <w:t xml:space="preserve">Entra tokens scope every cross-system database access to the specific resource and consumer; passthrough credentials eliminated</w:t>
            </w:r>
          </w:p>
        </w:tc>
        <w:tc>
          <w:tcPr/>
          <w:p>
            <w:pPr>
              <w:pStyle w:val="Compact"/>
              <w:jc w:val="left"/>
            </w:pPr>
            <w:r>
              <w:t xml:space="preserve">Linked server migration to service principal; Entra-scoped federated access</w:t>
            </w:r>
          </w:p>
        </w:tc>
      </w:tr>
      <w:tr>
        <w:tc>
          <w:tcPr/>
          <w:p>
            <w:pPr>
              <w:pStyle w:val="Compact"/>
              <w:jc w:val="left"/>
            </w:pPr>
            <w:r>
              <w:rPr>
                <w:bCs/>
                <w:b/>
              </w:rPr>
              <w:t xml:space="preserve">SA-8</w:t>
            </w:r>
          </w:p>
        </w:tc>
        <w:tc>
          <w:tcPr/>
          <w:p>
            <w:pPr>
              <w:pStyle w:val="Compact"/>
              <w:jc w:val="left"/>
            </w:pPr>
            <w:r>
              <w:t xml:space="preserve">Security and Privacy Engineering</w:t>
            </w:r>
          </w:p>
        </w:tc>
        <w:tc>
          <w:tcPr/>
          <w:p>
            <w:pPr>
              <w:pStyle w:val="Compact"/>
              <w:jc w:val="left"/>
            </w:pPr>
            <w:r>
              <w:t xml:space="preserve">Consistency class alignment</w:t>
            </w:r>
          </w:p>
        </w:tc>
        <w:tc>
          <w:tcPr/>
          <w:p>
            <w:pPr>
              <w:pStyle w:val="Compact"/>
              <w:jc w:val="lef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jc w:val="left"/>
            </w:pPr>
            <w:r>
              <w:t xml:space="preserve">Workloads explicitly classified by consistency requirement; strong consistency routed intra-region; cross-region reads use async replica with documented staleness bound</w:t>
            </w:r>
          </w:p>
        </w:tc>
        <w:tc>
          <w:tcPr/>
          <w:p>
            <w:pPr>
              <w:pStyle w:val="Compact"/>
              <w:jc w:val="left"/>
            </w:pPr>
            <w:r>
              <w:t xml:space="preserve">Consistency class to transport class design rule applied at architecture review</w:t>
            </w:r>
          </w:p>
        </w:tc>
      </w:tr>
      <w:tr>
        <w:tc>
          <w:tcPr/>
          <w:p>
            <w:pPr>
              <w:pStyle w:val="Compact"/>
              <w:jc w:val="left"/>
            </w:pPr>
            <w:r>
              <w:rPr>
                <w:bCs/>
                <w:b/>
              </w:rPr>
              <w:t xml:space="preserve">AU-9</w:t>
            </w:r>
          </w:p>
        </w:tc>
        <w:tc>
          <w:tcPr/>
          <w:p>
            <w:pPr>
              <w:pStyle w:val="Compact"/>
              <w:jc w:val="left"/>
            </w:pPr>
            <w:r>
              <w:t xml:space="preserve">Protection of Audit Information</w:t>
            </w:r>
          </w:p>
        </w:tc>
        <w:tc>
          <w:tcPr/>
          <w:p>
            <w:pPr>
              <w:pStyle w:val="Compact"/>
              <w:jc w:val="left"/>
            </w:pPr>
            <w:r>
              <w:t xml:space="preserve">Geo-replicated immutable audit log</w:t>
            </w:r>
          </w:p>
        </w:tc>
        <w:tc>
          <w:tcPr/>
          <w:p>
            <w:pPr>
              <w:pStyle w:val="Compact"/>
              <w:jc w:val="left"/>
            </w:pPr>
            <w:r>
              <w:t xml:space="preserve">Audit logs may reside only in the region where the database is hosted; single-region loss event could destroy audit trail</w:t>
            </w:r>
          </w:p>
        </w:tc>
        <w:tc>
          <w:tcPr/>
          <w:p>
            <w:pPr>
              <w:pStyle w:val="Compact"/>
              <w:jc w:val="left"/>
            </w:pPr>
            <w:r>
              <w:t xml:space="preserve">Audit logs replicated asynchronously to write-once storage in a second region; loss of primary region does not destroy audit record</w:t>
            </w:r>
          </w:p>
        </w:tc>
        <w:tc>
          <w:tcPr/>
          <w:p>
            <w:pPr>
              <w:pStyle w:val="Compact"/>
              <w:jc w:val="left"/>
            </w:pPr>
            <w:r>
              <w:t xml:space="preserve">Async replication of audit logs to immutable secondary-region store</w:t>
            </w:r>
          </w:p>
        </w:tc>
      </w:tr>
      <w:tr>
        <w:tc>
          <w:tcPr/>
          <w:p>
            <w:pPr>
              <w:pStyle w:val="Compact"/>
              <w:jc w:val="left"/>
            </w:pPr>
            <w:r>
              <w:rPr>
                <w:bCs/>
                <w:b/>
              </w:rPr>
              <w:t xml:space="preserve">CP-9</w:t>
            </w:r>
          </w:p>
        </w:tc>
        <w:tc>
          <w:tcPr/>
          <w:p>
            <w:pPr>
              <w:pStyle w:val="Compact"/>
              <w:jc w:val="left"/>
            </w:pPr>
            <w:r>
              <w:t xml:space="preserve">System Backup</w:t>
            </w:r>
          </w:p>
        </w:tc>
        <w:tc>
          <w:tcPr/>
          <w:p>
            <w:pPr>
              <w:pStyle w:val="Compact"/>
              <w:jc w:val="left"/>
            </w:pPr>
            <w:r>
              <w:t xml:space="preserve">Async DR replica + backup</w:t>
            </w:r>
          </w:p>
        </w:tc>
        <w:tc>
          <w:tcPr/>
          <w:p>
            <w:pPr>
              <w:pStyle w:val="Compact"/>
              <w:jc w:val="left"/>
            </w:pPr>
            <w:r>
              <w:t xml:space="preserve">Backup policy exists but DR replica synchronization not monitored; backup-to-restore time not measured against RTO</w:t>
            </w:r>
          </w:p>
        </w:tc>
        <w:tc>
          <w:tcPr/>
          <w:p>
            <w:pPr>
              <w:pStyle w:val="Compact"/>
              <w:jc w:val="left"/>
            </w:pPr>
            <w:r>
              <w:t xml:space="preserve">Async replication to DR replica with continuous lag monitoring; periodic backup to immutable store; RTO and RPO validated by documented test</w:t>
            </w:r>
          </w:p>
        </w:tc>
        <w:tc>
          <w:tcPr/>
          <w:p>
            <w:pPr>
              <w:pStyle w:val="Compact"/>
              <w:jc w:val="left"/>
            </w:pPr>
            <w:r>
              <w:t xml:space="preserve">DR replica lag monitoring; backup-to-restore time test record</w:t>
            </w:r>
          </w:p>
        </w:tc>
      </w:tr>
      <w:tr>
        <w:tc>
          <w:tcPr/>
          <w:p>
            <w:pPr>
              <w:pStyle w:val="Compact"/>
              <w:jc w:val="left"/>
            </w:pPr>
            <w:r>
              <w:rPr>
                <w:bCs/>
                <w:b/>
              </w:rPr>
              <w:t xml:space="preserve">CP-10</w:t>
            </w:r>
          </w:p>
        </w:tc>
        <w:tc>
          <w:tcPr/>
          <w:p>
            <w:pPr>
              <w:pStyle w:val="Compact"/>
              <w:jc w:val="left"/>
            </w:pPr>
            <w:r>
              <w:t xml:space="preserve">System Recovery and Reconstitution</w:t>
            </w:r>
          </w:p>
        </w:tc>
        <w:tc>
          <w:tcPr/>
          <w:p>
            <w:pPr>
              <w:pStyle w:val="Compact"/>
              <w:jc w:val="left"/>
            </w:pPr>
            <w:r>
              <w:t xml:space="preserve">DR failover runbook</w:t>
            </w:r>
          </w:p>
        </w:tc>
        <w:tc>
          <w:tcPr/>
          <w:p>
            <w:pPr>
              <w:pStyle w:val="Compact"/>
              <w:jc w:val="left"/>
            </w:pPr>
            <w:r>
              <w:t xml:space="preserve">No documented failover procedure with measured recovery time; DR readiness not continuously tested</w:t>
            </w:r>
          </w:p>
        </w:tc>
        <w:tc>
          <w:tcPr/>
          <w:p>
            <w:pPr>
              <w:pStyle w:val="Compact"/>
              <w:jc w:val="left"/>
            </w:pPr>
            <w:r>
              <w:t xml:space="preserve">Documented DR failover runbook with measured RTO and RPO from last test; annual DR test documented and reviewed</w:t>
            </w:r>
          </w:p>
        </w:tc>
        <w:tc>
          <w:tcPr/>
          <w:p>
            <w:pPr>
              <w:pStyle w:val="Compact"/>
              <w:jc w:val="left"/>
            </w:pPr>
            <w:r>
              <w:t xml:space="preserve">DR test record with measured recovery time; runbook maintained in configuration management</w:t>
            </w:r>
          </w:p>
        </w:tc>
      </w:tr>
    </w:tbl>
    <w:p>
      <w:pPr>
        <w:pStyle w:val="BodyText"/>
      </w:pPr>
      <w:r>
        <w:rPr>
          <w:bCs/>
          <w:b/>
        </w:rPr>
        <w:t xml:space="preserve">Net new controls from Part 9</w:t>
      </w:r>
      <w:r>
        <w:t xml:space="preserve"> </w:t>
      </w:r>
      <w:r>
        <w:t xml:space="preserve">(not addressed in Parts 1–8): SC-28, SC-5, CA-3, SA-8, AU-9, CP-9, CP-10 —</w:t>
      </w:r>
      <w:r>
        <w:t xml:space="preserve"> </w:t>
      </w:r>
      <w:r>
        <w:rPr>
          <w:bCs/>
          <w:b/>
        </w:rPr>
        <w:t xml:space="preserve">7 additional controls</w:t>
      </w:r>
      <w:r>
        <w:t xml:space="preserve">, bringing the series total to</w:t>
      </w:r>
      <w:r>
        <w:t xml:space="preserve"> </w:t>
      </w:r>
      <w:r>
        <w:rPr>
          <w:bCs/>
          <w:b/>
        </w:rPr>
        <w:t xml:space="preserve">34 distinct controls</w:t>
      </w:r>
      <w:r>
        <w:t xml:space="preserve">.</w:t>
      </w:r>
    </w:p>
    <w:p>
      <w:r>
        <w:pict>
          <v:rect style="width:0;height:1.5pt" o:hralign="center" o:hrstd="t" o:hr="t"/>
        </w:pict>
      </w:r>
    </w:p>
    <w:bookmarkEnd w:id="54"/>
    <w:bookmarkEnd w:id="55"/>
    <w:bookmarkStart w:id="57" w:name="parts-1019-expanded-control-coverage"/>
    <w:p>
      <w:pPr>
        <w:pStyle w:val="Heading1"/>
      </w:pPr>
      <w:r>
        <w:t xml:space="preserve">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Cs/>
          <w:b/>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56" w:name="nist-control-closure-parts-1019"/>
    <w:p>
      <w:pPr>
        <w:pStyle w:val="Heading2"/>
      </w:pPr>
      <w:r>
        <w:t xml:space="preserve">NIST Control Closure — Parts 10–19</w:t>
      </w:r>
    </w:p>
    <w:p>
      <w:pPr>
        <w:pStyle w:val="TableCaption"/>
      </w:pPr>
      <w:r>
        <w:t xml:space="preserve">Parts 10–19 — NIST SP 800-53 Rev 5 Control Coverage {.striped .hover}</w:t>
      </w:r>
    </w:p>
    <w:tbl>
      <w:tblPr>
        <w:tblStyle w:val="Table"/>
        <w:tblW w:type="pct" w:w="5000"/>
        <w:tblLook w:firstRow="1" w:lastRow="0" w:firstColumn="0" w:lastColumn="0" w:noHBand="0" w:noVBand="0" w:val="0020"/>
        <w:jc w:val="start"/>
        <w:tblCaption w:val="Parts 10–19 — NIST SP 800-53 Rev 5 Control Coverage {.striped .hover}"/>
      </w:tblPr>
      <w:tblGrid>
        <w:gridCol w:w="1131"/>
        <w:gridCol w:w="1320"/>
        <w:gridCol w:w="3205"/>
        <w:gridCol w:w="2262"/>
      </w:tblGrid>
      <w:tr>
        <w:trPr>
          <w:tblHeader w:val="true"/>
        </w:trPr>
        <w:tc>
          <w:tcPr/>
          <w:p>
            <w:pPr>
              <w:pStyle w:val="Compact"/>
              <w:jc w:val="left"/>
            </w:pPr>
            <w:r>
              <w:t xml:space="preserve">Part</w:t>
            </w:r>
          </w:p>
        </w:tc>
        <w:tc>
          <w:tcPr/>
          <w:p>
            <w:pPr>
              <w:pStyle w:val="Compact"/>
              <w:jc w:val="left"/>
            </w:pPr>
            <w:r>
              <w:t xml:space="preserve">Topic</w:t>
            </w:r>
          </w:p>
        </w:tc>
        <w:tc>
          <w:tcPr/>
          <w:p>
            <w:pPr>
              <w:pStyle w:val="Compact"/>
              <w:jc w:val="left"/>
            </w:pPr>
            <w:r>
              <w:t xml:space="preserve">Target Controls</w:t>
            </w:r>
          </w:p>
        </w:tc>
        <w:tc>
          <w:tcPr/>
          <w:p>
            <w:pPr>
              <w:pStyle w:val="Compact"/>
              <w:jc w:val="left"/>
            </w:pPr>
            <w:r>
              <w:t xml:space="preserve">Technology</w:t>
            </w:r>
          </w:p>
        </w:tc>
      </w:tr>
      <w:tr>
        <w:tc>
          <w:tcPr/>
          <w:p>
            <w:pPr>
              <w:pStyle w:val="Compact"/>
              <w:jc w:val="left"/>
            </w:pPr>
            <w:r>
              <w:rPr>
                <w:bCs/>
                <w:b/>
              </w:rPr>
              <w:t xml:space="preserve">Part 10</w:t>
            </w:r>
          </w:p>
        </w:tc>
        <w:tc>
          <w:tcPr/>
          <w:p>
            <w:pPr>
              <w:pStyle w:val="Compact"/>
              <w:jc w:val="left"/>
            </w:pPr>
            <w:r>
              <w:t xml:space="preserve">Privileged Access Management</w:t>
            </w:r>
          </w:p>
        </w:tc>
        <w:tc>
          <w:tcPr/>
          <w:p>
            <w:pPr>
              <w:pStyle w:val="Compact"/>
              <w:jc w:val="left"/>
            </w:pPr>
            <w:r>
              <w:t xml:space="preserve">AC-5, AC-6, AC-6(1/2/5/7/9/10), AC-11, AC-12, IA-11</w:t>
            </w:r>
          </w:p>
        </w:tc>
        <w:tc>
          <w:tcPr/>
          <w:p>
            <w:pPr>
              <w:pStyle w:val="Compact"/>
              <w:jc w:val="left"/>
            </w:pPr>
            <w:r>
              <w:t xml:space="preserve">Entra PIM + PAW</w:t>
            </w:r>
          </w:p>
        </w:tc>
      </w:tr>
      <w:tr>
        <w:tc>
          <w:tcPr/>
          <w:p>
            <w:pPr>
              <w:pStyle w:val="Compact"/>
              <w:jc w:val="left"/>
            </w:pPr>
            <w:r>
              <w:rPr>
                <w:bCs/>
                <w:b/>
              </w:rPr>
              <w:t xml:space="preserve">Part 11</w:t>
            </w:r>
          </w:p>
        </w:tc>
        <w:tc>
          <w:tcPr/>
          <w:p>
            <w:pPr>
              <w:pStyle w:val="Compact"/>
              <w:jc w:val="left"/>
            </w:pPr>
            <w:r>
              <w:t xml:space="preserve">Vulnerability Management</w:t>
            </w:r>
          </w:p>
        </w:tc>
        <w:tc>
          <w:tcPr/>
          <w:p>
            <w:pPr>
              <w:pStyle w:val="Compact"/>
              <w:jc w:val="left"/>
            </w:pPr>
            <w:r>
              <w:t xml:space="preserve">RA-5, RA-5(2), RA-5(5), SI-2, SI-2(2), SI-5, CM-7, CM-7(1)</w:t>
            </w:r>
          </w:p>
        </w:tc>
        <w:tc>
          <w:tcPr/>
          <w:p>
            <w:pPr>
              <w:pStyle w:val="Compact"/>
              <w:jc w:val="left"/>
            </w:pPr>
            <w:r>
              <w:t xml:space="preserve">Defender MDVM + CISA KEV</w:t>
            </w:r>
          </w:p>
        </w:tc>
      </w:tr>
      <w:tr>
        <w:tc>
          <w:tcPr/>
          <w:p>
            <w:pPr>
              <w:pStyle w:val="Compact"/>
              <w:jc w:val="left"/>
            </w:pPr>
            <w:r>
              <w:rPr>
                <w:bCs/>
                <w:b/>
              </w:rPr>
              <w:t xml:space="preserve">Part 12</w:t>
            </w:r>
          </w:p>
        </w:tc>
        <w:tc>
          <w:tcPr/>
          <w:p>
            <w:pPr>
              <w:pStyle w:val="Compact"/>
              <w:jc w:val="left"/>
            </w:pPr>
            <w:r>
              <w:t xml:space="preserve">Data Protection</w:t>
            </w:r>
          </w:p>
        </w:tc>
        <w:tc>
          <w:tcPr/>
          <w:p>
            <w:pPr>
              <w:pStyle w:val="Compact"/>
              <w:jc w:val="left"/>
            </w:pPr>
            <w:r>
              <w:t xml:space="preserve">MP-2, MP-3, MP-4, MP-5, SC-12, SC-13, SC-17, SC-28, AU-10</w:t>
            </w:r>
          </w:p>
        </w:tc>
        <w:tc>
          <w:tcPr/>
          <w:p>
            <w:pPr>
              <w:pStyle w:val="Compact"/>
              <w:jc w:val="left"/>
            </w:pPr>
            <w:r>
              <w:t xml:space="preserve">Purview + Key Vault CMK</w:t>
            </w:r>
          </w:p>
        </w:tc>
      </w:tr>
      <w:tr>
        <w:tc>
          <w:tcPr/>
          <w:p>
            <w:pPr>
              <w:pStyle w:val="Compact"/>
              <w:jc w:val="left"/>
            </w:pPr>
            <w:r>
              <w:rPr>
                <w:bCs/>
                <w:b/>
              </w:rPr>
              <w:t xml:space="preserve">Part 13</w:t>
            </w:r>
          </w:p>
        </w:tc>
        <w:tc>
          <w:tcPr/>
          <w:p>
            <w:pPr>
              <w:pStyle w:val="Compact"/>
              <w:jc w:val="left"/>
            </w:pPr>
            <w:r>
              <w:t xml:space="preserve">SIEM / XDR / Detection Engineering</w:t>
            </w:r>
          </w:p>
        </w:tc>
        <w:tc>
          <w:tcPr/>
          <w:p>
            <w:pPr>
              <w:pStyle w:val="Compact"/>
              <w:jc w:val="left"/>
            </w:pPr>
            <w:r>
              <w:t xml:space="preserve">AU-6, AU-6(1/3), AU-7, AU-8, AU-11, SI-4, SI-4(2/4/5), IR-4, IR-6, IR-8</w:t>
            </w:r>
          </w:p>
        </w:tc>
        <w:tc>
          <w:tcPr/>
          <w:p>
            <w:pPr>
              <w:pStyle w:val="Compact"/>
              <w:jc w:val="left"/>
            </w:pPr>
            <w:r>
              <w:t xml:space="preserve">Microsoft Sentinel + Defender XDR</w:t>
            </w:r>
          </w:p>
        </w:tc>
      </w:tr>
      <w:tr>
        <w:tc>
          <w:tcPr/>
          <w:p>
            <w:pPr>
              <w:pStyle w:val="Compact"/>
              <w:jc w:val="left"/>
            </w:pPr>
            <w:r>
              <w:rPr>
                <w:bCs/>
                <w:b/>
              </w:rPr>
              <w:t xml:space="preserve">Part 14</w:t>
            </w:r>
          </w:p>
        </w:tc>
        <w:tc>
          <w:tcPr/>
          <w:p>
            <w:pPr>
              <w:pStyle w:val="Compact"/>
              <w:jc w:val="left"/>
            </w:pPr>
            <w:r>
              <w:t xml:space="preserve">Business Continuity</w:t>
            </w:r>
          </w:p>
        </w:tc>
        <w:tc>
          <w:tcPr/>
          <w:p>
            <w:pPr>
              <w:pStyle w:val="Compact"/>
              <w:jc w:val="left"/>
            </w:pPr>
            <w:r>
              <w:t xml:space="preserve">CP-2, CP-2(1/2/3), CP-3, CP-4, CP-4(1/2), CP-6, CP-7, CP-7(1/2/3), CP-8, CP-8(1/2)</w:t>
            </w:r>
          </w:p>
        </w:tc>
        <w:tc>
          <w:tcPr/>
          <w:p>
            <w:pPr>
              <w:pStyle w:val="Compact"/>
              <w:jc w:val="left"/>
            </w:pPr>
            <w:r>
              <w:t xml:space="preserve">Azure Site Recovery + DR runbooks</w:t>
            </w:r>
          </w:p>
        </w:tc>
      </w:tr>
      <w:tr>
        <w:tc>
          <w:tcPr/>
          <w:p>
            <w:pPr>
              <w:pStyle w:val="Compact"/>
              <w:jc w:val="left"/>
            </w:pPr>
            <w:r>
              <w:rPr>
                <w:bCs/>
                <w:b/>
              </w:rPr>
              <w:t xml:space="preserve">Part 15</w:t>
            </w:r>
          </w:p>
        </w:tc>
        <w:tc>
          <w:tcPr/>
          <w:p>
            <w:pPr>
              <w:pStyle w:val="Compact"/>
              <w:jc w:val="left"/>
            </w:pPr>
            <w:r>
              <w:t xml:space="preserve">Supply Chain Risk Management</w:t>
            </w:r>
          </w:p>
        </w:tc>
        <w:tc>
          <w:tcPr/>
          <w:p>
            <w:pPr>
              <w:pStyle w:val="Compact"/>
              <w:jc w:val="left"/>
            </w:pPr>
            <w:r>
              <w:t xml:space="preserve">SR-1, SR-2, SR-3, SR-5, SR-6, SR-8, SR-10, SR-11</w:t>
            </w:r>
          </w:p>
        </w:tc>
        <w:tc>
          <w:tcPr/>
          <w:p>
            <w:pPr>
              <w:pStyle w:val="Compact"/>
              <w:jc w:val="left"/>
            </w:pPr>
            <w:r>
              <w:t xml:space="preserve">Syft/Grype SBOM pipeline + BOD 26-04</w:t>
            </w:r>
          </w:p>
        </w:tc>
      </w:tr>
      <w:tr>
        <w:tc>
          <w:tcPr/>
          <w:p>
            <w:pPr>
              <w:pStyle w:val="Compact"/>
              <w:jc w:val="left"/>
            </w:pPr>
            <w:r>
              <w:rPr>
                <w:bCs/>
                <w:b/>
              </w:rPr>
              <w:t xml:space="preserve">Part 16</w:t>
            </w:r>
          </w:p>
        </w:tc>
        <w:tc>
          <w:tcPr/>
          <w:p>
            <w:pPr>
              <w:pStyle w:val="Compact"/>
              <w:jc w:val="left"/>
            </w:pPr>
            <w:r>
              <w:t xml:space="preserve">Program Management and Governance</w:t>
            </w:r>
          </w:p>
        </w:tc>
        <w:tc>
          <w:tcPr/>
          <w:p>
            <w:pPr>
              <w:pStyle w:val="Compact"/>
              <w:jc w:val="left"/>
            </w:pPr>
            <w:r>
              <w:t xml:space="preserve">PM-1, PM-2, PM-5, PM-7, PM-9, PM-11, PM-14, PM-15, PM-30</w:t>
            </w:r>
          </w:p>
        </w:tc>
        <w:tc>
          <w:tcPr/>
          <w:p>
            <w:pPr>
              <w:pStyle w:val="Compact"/>
              <w:jc w:val="left"/>
            </w:pPr>
            <w:r>
              <w:t xml:space="preserve">ISPP / POA&amp;M / SCRM Charter templates</w:t>
            </w:r>
          </w:p>
        </w:tc>
      </w:tr>
      <w:tr>
        <w:tc>
          <w:tcPr/>
          <w:p>
            <w:pPr>
              <w:pStyle w:val="Compact"/>
              <w:jc w:val="left"/>
            </w:pPr>
            <w:r>
              <w:rPr>
                <w:bCs/>
                <w:b/>
              </w:rPr>
              <w:t xml:space="preserve">Part 17</w:t>
            </w:r>
          </w:p>
        </w:tc>
        <w:tc>
          <w:tcPr/>
          <w:p>
            <w:pPr>
              <w:pStyle w:val="Compact"/>
              <w:jc w:val="left"/>
            </w:pPr>
            <w:r>
              <w:t xml:space="preserve">PII Processing and Transparency</w:t>
            </w:r>
          </w:p>
        </w:tc>
        <w:tc>
          <w:tcPr/>
          <w:p>
            <w:pPr>
              <w:pStyle w:val="Compact"/>
              <w:jc w:val="left"/>
            </w:pPr>
            <w:r>
              <w:t xml:space="preserve">PT-1, PT-2, PT-3, PT-4, PT-5, PT-7</w:t>
            </w:r>
          </w:p>
        </w:tc>
        <w:tc>
          <w:tcPr/>
          <w:p>
            <w:pPr>
              <w:pStyle w:val="Compact"/>
              <w:jc w:val="left"/>
            </w:pPr>
            <w:r>
              <w:t xml:space="preserve">Purview Data Map + PT family templates</w:t>
            </w:r>
          </w:p>
        </w:tc>
      </w:tr>
      <w:tr>
        <w:tc>
          <w:tcPr/>
          <w:p>
            <w:pPr>
              <w:pStyle w:val="Compact"/>
              <w:jc w:val="left"/>
            </w:pPr>
            <w:r>
              <w:rPr>
                <w:bCs/>
                <w:b/>
              </w:rPr>
              <w:t xml:space="preserve">Part 18</w:t>
            </w:r>
          </w:p>
        </w:tc>
        <w:tc>
          <w:tcPr/>
          <w:p>
            <w:pPr>
              <w:pStyle w:val="Compact"/>
              <w:jc w:val="left"/>
            </w:pPr>
            <w:r>
              <w:t xml:space="preserve">Cybersecurity Awareness and Training</w:t>
            </w:r>
          </w:p>
        </w:tc>
        <w:tc>
          <w:tcPr/>
          <w:p>
            <w:pPr>
              <w:pStyle w:val="Compact"/>
              <w:jc w:val="left"/>
            </w:pPr>
            <w:r>
              <w:t xml:space="preserve">AT-2, AT-2(1), AT-2(2), AT-3, AT-3(3), AT-3(5), AT-4, CP-3, IR-2</w:t>
            </w:r>
          </w:p>
        </w:tc>
        <w:tc>
          <w:tcPr/>
          <w:p>
            <w:pPr>
              <w:pStyle w:val="Compact"/>
              <w:jc w:val="left"/>
            </w:pPr>
            <w:r>
              <w:t xml:space="preserve">LMS · Viva Learning · Microsoft 365 Compliance</w:t>
            </w:r>
          </w:p>
        </w:tc>
      </w:tr>
      <w:tr>
        <w:tc>
          <w:tcPr/>
          <w:p>
            <w:pPr>
              <w:pStyle w:val="Compact"/>
              <w:jc w:val="left"/>
            </w:pPr>
            <w:r>
              <w:rPr>
                <w:bCs/>
                <w:b/>
              </w:rPr>
              <w:t xml:space="preserve">Part 19</w:t>
            </w:r>
          </w:p>
        </w:tc>
        <w:tc>
          <w:tcPr/>
          <w:p>
            <w:pPr>
              <w:pStyle w:val="Compact"/>
              <w:jc w:val="left"/>
            </w:pPr>
            <w:r>
              <w:t xml:space="preserve">Authorization Package and ConMon</w:t>
            </w:r>
          </w:p>
        </w:tc>
        <w:tc>
          <w:tcPr/>
          <w:p>
            <w:pPr>
              <w:pStyle w:val="Compact"/>
              <w:jc w:val="left"/>
            </w:pPr>
            <w:r>
              <w:t xml:space="preserve">CA-2, CA-5, CA-6, CA-7, CA-7(1), CA-7(3), RA-3, SA-15</w:t>
            </w:r>
          </w:p>
        </w:tc>
        <w:tc>
          <w:tcPr/>
          <w:p>
            <w:pPr>
              <w:pStyle w:val="Compact"/>
              <w:jc w:val="left"/>
            </w:pPr>
            <w:r>
              <w:t xml:space="preserve">OSCAL AP+AR+POA&amp;M · BOD 26-04 VDR/VER · ConMon dashboard</w:t>
            </w:r>
          </w:p>
        </w:tc>
      </w:tr>
    </w:tbl>
    <w:p>
      <w:pPr>
        <w:pStyle w:val="BodyText"/>
      </w:pPr>
      <w:r>
        <w:rPr>
          <w:bCs/>
          <w:b/>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Cs/>
          <w:b/>
        </w:rPr>
        <w:t xml:space="preserve">Part 18 activates</w:t>
      </w:r>
      <w:r>
        <w:rPr>
          <w:bCs/>
          <w:b/>
        </w:rPr>
        <w:t xml:space="preserve"> </w:t>
      </w:r>
      <w:r>
        <w:rPr>
          <w:bCs/>
          <w:b/>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Cs/>
          <w:b/>
        </w:rPr>
        <w:t xml:space="preserve">Part 19 converts</w:t>
      </w:r>
      <w:r>
        <w:rPr>
          <w:bCs/>
          <w:b/>
        </w:rPr>
        <w:t xml:space="preserve"> </w:t>
      </w:r>
      <w:r>
        <w:rPr>
          <w:bCs/>
          <w:b/>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56"/>
    <w:bookmarkEnd w:id="57"/>
    <w:bookmarkStart w:id="64" w:name="combined-control-closure-summary"/>
    <w:p>
      <w:pPr>
        <w:pStyle w:val="Heading1"/>
      </w:pPr>
      <w:r>
        <w:t xml:space="preserve">Combined Control Closure Summary</w:t>
      </w:r>
    </w:p>
    <w:p>
      <w:pPr>
        <w:pStyle w:val="CaptionedFigure"/>
      </w:pPr>
      <w:r>
        <w:drawing>
          <wp:inline>
            <wp:extent cx="5334000" cy="2769576"/>
            <wp:effectExtent b="0" l="0" r="0" t="0"/>
            <wp:docPr descr="NIST SP 800-53 Control Closure by Family and Track — Six Tracks (Parts 1 and 5–9)" title="" id="59" name="Picture"/>
            <a:graphic>
              <a:graphicData uri="http://schemas.openxmlformats.org/drawingml/2006/picture">
                <pic:pic>
                  <pic:nvPicPr>
                    <pic:cNvPr descr="figs/es-fig-02-control-closure-chart.png" id="60" name="Picture"/>
                    <pic:cNvPicPr>
                      <a:picLocks noChangeArrowheads="1" noChangeAspect="1"/>
                    </pic:cNvPicPr>
                  </pic:nvPicPr>
                  <pic:blipFill>
                    <a:blip r:embed="rId58"/>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61" w:name="X098d98be751efe7c6f37e3b7959bb12c4a66520"/>
    <w:p>
      <w:pPr>
        <w:pStyle w:val="Heading2"/>
      </w:pPr>
      <w:r>
        <w:t xml:space="preserve">Total Controls Closed Across the Original Six Tracks (Parts 1, 5–9)</w:t>
      </w:r>
    </w:p>
    <w:p>
      <w:pPr>
        <w:pStyle w:val="TableCaption"/>
      </w:pPr>
      <w:r>
        <w:t xml:space="preserve">Combined Control Coverage by Family and Technology {.striped .hover}</w:t>
      </w:r>
    </w:p>
    <w:tbl>
      <w:tblPr>
        <w:tblStyle w:val="Table"/>
        <w:tblW w:type="pct" w:w="5000"/>
        <w:tblLook w:firstRow="1" w:lastRow="0" w:firstColumn="0" w:lastColumn="0" w:noHBand="0" w:noVBand="0" w:val="0020"/>
        <w:jc w:val="start"/>
        <w:tblCaption w:val="Combined Control Coverage by Family and Technology {.striped .hover}"/>
      </w:tblPr>
      <w:tblGrid>
        <w:gridCol w:w="1980"/>
        <w:gridCol w:w="1980"/>
        <w:gridCol w:w="1980"/>
        <w:gridCol w:w="1980"/>
      </w:tblGrid>
      <w:tr>
        <w:trPr>
          <w:tblHeader w:val="true"/>
        </w:trPr>
        <w:tc>
          <w:tcPr/>
          <w:p>
            <w:pPr>
              <w:pStyle w:val="Compact"/>
              <w:jc w:val="left"/>
            </w:pPr>
            <w:r>
              <w:t xml:space="preserve">Control Family</w:t>
            </w:r>
          </w:p>
        </w:tc>
        <w:tc>
          <w:tcPr/>
          <w:p>
            <w:pPr>
              <w:pStyle w:val="Compact"/>
              <w:jc w:val="left"/>
            </w:pPr>
            <w:r>
              <w:t xml:space="preserve">Technology</w:t>
            </w:r>
          </w:p>
        </w:tc>
        <w:tc>
          <w:tcPr/>
          <w:p>
            <w:pPr>
              <w:pStyle w:val="Compact"/>
              <w:jc w:val="left"/>
            </w:pPr>
            <w:r>
              <w:t xml:space="preserve">Controls Closed</w:t>
            </w:r>
          </w:p>
        </w:tc>
        <w:tc>
          <w:tcPr/>
          <w:p>
            <w:pPr>
              <w:pStyle w:val="Compact"/>
              <w:jc w:val="left"/>
            </w:pPr>
            <w:r>
              <w:t xml:space="preserve">Implementing Track</w:t>
            </w:r>
          </w:p>
        </w:tc>
      </w:tr>
      <w:tr>
        <w:tc>
          <w:tcPr/>
          <w:p>
            <w:pPr>
              <w:pStyle w:val="Compact"/>
              <w:jc w:val="left"/>
            </w:pPr>
            <w:r>
              <w:rPr>
                <w:bCs/>
                <w:b/>
              </w:rPr>
              <w:t xml:space="preserve">SC</w:t>
            </w:r>
            <w:r>
              <w:t xml:space="preserve"> </w:t>
            </w:r>
            <w:r>
              <w:t xml:space="preserve">— System and Communications Protection</w:t>
            </w:r>
          </w:p>
        </w:tc>
        <w:tc>
          <w:tcPr/>
          <w:p>
            <w:pPr>
              <w:pStyle w:val="Compact"/>
              <w:jc w:val="left"/>
            </w:pPr>
            <w:r>
              <w:t xml:space="preserve">InfoBlox DNSSEC, RPZ, PKI; SD-WAN IPsec; SASE SWG; TDE; QoS</w:t>
            </w:r>
          </w:p>
        </w:tc>
        <w:tc>
          <w:tcPr/>
          <w:p>
            <w:pPr>
              <w:pStyle w:val="Compact"/>
              <w:jc w:val="left"/>
            </w:pPr>
            <w:r>
              <w:t xml:space="preserve">SC-5, SC-7, SC-7(7), SC-8, SC-8(1), SC-20, SC-20(1), SC-21, SC-22, SC-28</w:t>
            </w:r>
          </w:p>
        </w:tc>
        <w:tc>
          <w:tcPr/>
          <w:p>
            <w:pPr>
              <w:pStyle w:val="Compact"/>
              <w:jc w:val="left"/>
            </w:pPr>
            <w:r>
              <w:t xml:space="preserve">Parts 1, 5, 6, 9</w:t>
            </w:r>
          </w:p>
        </w:tc>
      </w:tr>
      <w:tr>
        <w:tc>
          <w:tcPr/>
          <w:p>
            <w:pPr>
              <w:pStyle w:val="Compact"/>
              <w:jc w:val="left"/>
            </w:pPr>
            <w:r>
              <w:rPr>
                <w:bCs/>
                <w:b/>
              </w:rPr>
              <w:t xml:space="preserve">CM</w:t>
            </w:r>
            <w:r>
              <w:t xml:space="preserve"> </w:t>
            </w:r>
            <w:r>
              <w:t xml:space="preserve">— Configuration Management</w:t>
            </w:r>
          </w:p>
        </w:tc>
        <w:tc>
          <w:tcPr/>
          <w:p>
            <w:pPr>
              <w:pStyle w:val="Compact"/>
              <w:jc w:val="left"/>
            </w:pPr>
            <w:r>
              <w:t xml:space="preserve">InfoBlox IPAM; Active Governance; SQL estate inventory</w:t>
            </w:r>
          </w:p>
        </w:tc>
        <w:tc>
          <w:tcPr/>
          <w:p>
            <w:pPr>
              <w:pStyle w:val="Compact"/>
              <w:jc w:val="left"/>
            </w:pPr>
            <w:r>
              <w:t xml:space="preserve">CM-2, CM-6, CM-8, CM-8(1)</w:t>
            </w:r>
          </w:p>
        </w:tc>
        <w:tc>
          <w:tcPr/>
          <w:p>
            <w:pPr>
              <w:pStyle w:val="Compact"/>
              <w:jc w:val="left"/>
            </w:pPr>
            <w:r>
              <w:t xml:space="preserve">Parts 1, 5, 7-8</w:t>
            </w:r>
          </w:p>
        </w:tc>
      </w:tr>
      <w:tr>
        <w:tc>
          <w:tcPr/>
          <w:p>
            <w:pPr>
              <w:pStyle w:val="Compact"/>
              <w:jc w:val="left"/>
            </w:pPr>
            <w:r>
              <w:rPr>
                <w:bCs/>
                <w:b/>
              </w:rPr>
              <w:t xml:space="preserve">AU</w:t>
            </w:r>
            <w:r>
              <w:t xml:space="preserve"> </w:t>
            </w:r>
            <w:r>
              <w:t xml:space="preserve">— Audit and Accountability</w:t>
            </w:r>
          </w:p>
        </w:tc>
        <w:tc>
          <w:tcPr/>
          <w:p>
            <w:pPr>
              <w:pStyle w:val="Compact"/>
              <w:jc w:val="left"/>
            </w:pPr>
            <w:r>
              <w:t xml:space="preserve">InfoBlox Syslog; SASE Session Logs; Entra ID Logs; Geo-replicated audit</w:t>
            </w:r>
          </w:p>
        </w:tc>
        <w:tc>
          <w:tcPr/>
          <w:p>
            <w:pPr>
              <w:pStyle w:val="Compact"/>
              <w:jc w:val="left"/>
            </w:pPr>
            <w:r>
              <w:t xml:space="preserve">AU-2, AU-9, AU-12</w:t>
            </w:r>
          </w:p>
        </w:tc>
        <w:tc>
          <w:tcPr/>
          <w:p>
            <w:pPr>
              <w:pStyle w:val="Compact"/>
              <w:jc w:val="left"/>
            </w:pPr>
            <w:r>
              <w:t xml:space="preserve">Parts 1, 5, 6, 7-8, 9</w:t>
            </w:r>
          </w:p>
        </w:tc>
      </w:tr>
      <w:tr>
        <w:tc>
          <w:tcPr/>
          <w:p>
            <w:pPr>
              <w:pStyle w:val="Compact"/>
              <w:jc w:val="left"/>
            </w:pPr>
            <w:r>
              <w:rPr>
                <w:bCs/>
                <w:b/>
              </w:rPr>
              <w:t xml:space="preserve">IA</w:t>
            </w:r>
            <w:r>
              <w:t xml:space="preserve"> </w:t>
            </w:r>
            <w:r>
              <w:t xml:space="preserve">— Identification and Authentication</w:t>
            </w:r>
          </w:p>
        </w:tc>
        <w:tc>
          <w:tcPr/>
          <w:p>
            <w:pPr>
              <w:pStyle w:val="Compact"/>
              <w:jc w:val="left"/>
            </w:pPr>
            <w:r>
              <w:t xml:space="preserve">InfoBlox PKI / SCEP; Entra ID Conditional Access; Intune MDM; Arc + Entra for SQL</w:t>
            </w:r>
          </w:p>
        </w:tc>
        <w:tc>
          <w:tcPr/>
          <w:p>
            <w:pPr>
              <w:pStyle w:val="Compact"/>
              <w:jc w:val="left"/>
            </w:pPr>
            <w:r>
              <w:t xml:space="preserve">IA-2, IA-2(1), IA-3, IA-5, IA-5(2), IA-8, IA-9</w:t>
            </w:r>
          </w:p>
        </w:tc>
        <w:tc>
          <w:tcPr/>
          <w:p>
            <w:pPr>
              <w:pStyle w:val="Compact"/>
              <w:jc w:val="left"/>
            </w:pPr>
            <w:r>
              <w:t xml:space="preserve">Parts 1, 5, 7-8</w:t>
            </w:r>
          </w:p>
        </w:tc>
      </w:tr>
      <w:tr>
        <w:tc>
          <w:tcPr/>
          <w:p>
            <w:pPr>
              <w:pStyle w:val="Compact"/>
              <w:jc w:val="left"/>
            </w:pPr>
            <w:r>
              <w:rPr>
                <w:bCs/>
                <w:b/>
              </w:rPr>
              <w:t xml:space="preserve">AC</w:t>
            </w:r>
            <w:r>
              <w:t xml:space="preserve"> </w:t>
            </w:r>
            <w:r>
              <w:t xml:space="preserve">— Access Control</w:t>
            </w:r>
          </w:p>
        </w:tc>
        <w:tc>
          <w:tcPr/>
          <w:p>
            <w:pPr>
              <w:pStyle w:val="Compact"/>
              <w:jc w:val="left"/>
            </w:pPr>
            <w:r>
              <w:t xml:space="preserve">SASE CASB; ZTNA; Entra ID HRIT; SQL Entra groups</w:t>
            </w:r>
          </w:p>
        </w:tc>
        <w:tc>
          <w:tcPr/>
          <w:p>
            <w:pPr>
              <w:pStyle w:val="Compact"/>
              <w:jc w:val="left"/>
            </w:pPr>
            <w:r>
              <w:t xml:space="preserve">AC-2, AC-3, AC-4, AC-17</w:t>
            </w:r>
          </w:p>
        </w:tc>
        <w:tc>
          <w:tcPr/>
          <w:p>
            <w:pPr>
              <w:pStyle w:val="Compact"/>
              <w:jc w:val="left"/>
            </w:pPr>
            <w:r>
              <w:t xml:space="preserve">Parts 5, 6, 7-8</w:t>
            </w:r>
          </w:p>
        </w:tc>
      </w:tr>
      <w:tr>
        <w:tc>
          <w:tcPr/>
          <w:p>
            <w:pPr>
              <w:pStyle w:val="Compact"/>
              <w:jc w:val="left"/>
            </w:pPr>
            <w:r>
              <w:rPr>
                <w:bCs/>
                <w:b/>
              </w:rPr>
              <w:t xml:space="preserve">CA</w:t>
            </w:r>
            <w:r>
              <w:t xml:space="preserve"> </w:t>
            </w:r>
            <w:r>
              <w:t xml:space="preserve">— Assessment, Authorization, and Monitoring</w:t>
            </w:r>
          </w:p>
        </w:tc>
        <w:tc>
          <w:tcPr/>
          <w:p>
            <w:pPr>
              <w:pStyle w:val="Compact"/>
              <w:jc w:val="left"/>
            </w:pPr>
            <w:r>
              <w:t xml:space="preserve">SASE; Active Governance; SQL compliance record; Entra cross-system token</w:t>
            </w:r>
          </w:p>
        </w:tc>
        <w:tc>
          <w:tcPr/>
          <w:p>
            <w:pPr>
              <w:pStyle w:val="Compact"/>
              <w:jc w:val="left"/>
            </w:pPr>
            <w:r>
              <w:t xml:space="preserve">CA-3, CA-7</w:t>
            </w:r>
          </w:p>
        </w:tc>
        <w:tc>
          <w:tcPr/>
          <w:p>
            <w:pPr>
              <w:pStyle w:val="Compact"/>
              <w:jc w:val="left"/>
            </w:pPr>
            <w:r>
              <w:t xml:space="preserve">Parts 5, 6, 7-8, 9</w:t>
            </w:r>
          </w:p>
        </w:tc>
      </w:tr>
      <w:tr>
        <w:tc>
          <w:tcPr/>
          <w:p>
            <w:pPr>
              <w:pStyle w:val="Compact"/>
              <w:jc w:val="left"/>
            </w:pPr>
            <w:r>
              <w:rPr>
                <w:bCs/>
                <w:b/>
              </w:rPr>
              <w:t xml:space="preserve">CP</w:t>
            </w:r>
            <w:r>
              <w:t xml:space="preserve"> </w:t>
            </w:r>
            <w:r>
              <w:t xml:space="preserve">— Contingency Planning</w:t>
            </w:r>
          </w:p>
        </w:tc>
        <w:tc>
          <w:tcPr/>
          <w:p>
            <w:pPr>
              <w:pStyle w:val="Compact"/>
              <w:jc w:val="left"/>
            </w:pPr>
            <w:r>
              <w:t xml:space="preserve">DR replica + backup; DR runbook</w:t>
            </w:r>
          </w:p>
        </w:tc>
        <w:tc>
          <w:tcPr/>
          <w:p>
            <w:pPr>
              <w:pStyle w:val="Compact"/>
              <w:jc w:val="left"/>
            </w:pPr>
            <w:r>
              <w:t xml:space="preserve">CP-9, CP-10</w:t>
            </w:r>
          </w:p>
        </w:tc>
        <w:tc>
          <w:tcPr/>
          <w:p>
            <w:pPr>
              <w:pStyle w:val="Compact"/>
              <w:jc w:val="left"/>
            </w:pPr>
            <w:r>
              <w:t xml:space="preserve">Part 9</w:t>
            </w:r>
          </w:p>
        </w:tc>
      </w:tr>
      <w:tr>
        <w:tc>
          <w:tcPr/>
          <w:p>
            <w:pPr>
              <w:pStyle w:val="Compact"/>
              <w:jc w:val="left"/>
            </w:pPr>
            <w:r>
              <w:rPr>
                <w:bCs/>
                <w:b/>
              </w:rPr>
              <w:t xml:space="preserve">IR</w:t>
            </w:r>
            <w:r>
              <w:t xml:space="preserve"> </w:t>
            </w:r>
            <w:r>
              <w:t xml:space="preserve">— Incident Response</w:t>
            </w:r>
          </w:p>
        </w:tc>
        <w:tc>
          <w:tcPr/>
          <w:p>
            <w:pPr>
              <w:pStyle w:val="Compact"/>
              <w:jc w:val="left"/>
            </w:pPr>
            <w:r>
              <w:t xml:space="preserve">InfoBlox RPZ + SIEM Integration</w:t>
            </w:r>
          </w:p>
        </w:tc>
        <w:tc>
          <w:tcPr/>
          <w:p>
            <w:pPr>
              <w:pStyle w:val="Compact"/>
              <w:jc w:val="left"/>
            </w:pPr>
            <w:r>
              <w:t xml:space="preserve">IR-4, IR-5</w:t>
            </w:r>
          </w:p>
        </w:tc>
        <w:tc>
          <w:tcPr/>
          <w:p>
            <w:pPr>
              <w:pStyle w:val="Compact"/>
              <w:jc w:val="left"/>
            </w:pPr>
            <w:r>
              <w:t xml:space="preserve">Part 1</w:t>
            </w:r>
          </w:p>
        </w:tc>
      </w:tr>
      <w:tr>
        <w:tc>
          <w:tcPr/>
          <w:p>
            <w:pPr>
              <w:pStyle w:val="Compact"/>
              <w:jc w:val="left"/>
            </w:pPr>
            <w:r>
              <w:rPr>
                <w:bCs/>
                <w:b/>
              </w:rPr>
              <w:t xml:space="preserve">SA</w:t>
            </w:r>
            <w:r>
              <w:t xml:space="preserve"> </w:t>
            </w:r>
            <w:r>
              <w:t xml:space="preserve">— System and Services Acquisition</w:t>
            </w:r>
          </w:p>
        </w:tc>
        <w:tc>
          <w:tcPr/>
          <w:p>
            <w:pPr>
              <w:pStyle w:val="Compact"/>
              <w:jc w:val="left"/>
            </w:pPr>
            <w:r>
              <w:t xml:space="preserve">InfoBlox DNS Forwarders; SSP Documentation; Consistency class design</w:t>
            </w:r>
          </w:p>
        </w:tc>
        <w:tc>
          <w:tcPr/>
          <w:p>
            <w:pPr>
              <w:pStyle w:val="Compact"/>
              <w:jc w:val="left"/>
            </w:pPr>
            <w:r>
              <w:t xml:space="preserve">SA-8, SA-9</w:t>
            </w:r>
          </w:p>
        </w:tc>
        <w:tc>
          <w:tcPr/>
          <w:p>
            <w:pPr>
              <w:pStyle w:val="Compact"/>
              <w:jc w:val="left"/>
            </w:pPr>
            <w:r>
              <w:t xml:space="preserve">Parts 1, 6, 9</w:t>
            </w:r>
          </w:p>
        </w:tc>
      </w:tr>
      <w:tr>
        <w:tc>
          <w:tcPr/>
          <w:p>
            <w:pPr>
              <w:pStyle w:val="Compact"/>
              <w:jc w:val="left"/>
            </w:pPr>
            <w:r>
              <w:rPr>
                <w:bCs/>
                <w:b/>
              </w:rPr>
              <w:t xml:space="preserve">SI</w:t>
            </w:r>
            <w:r>
              <w:t xml:space="preserve"> </w:t>
            </w:r>
            <w:r>
              <w:t xml:space="preserve">— System and Information Integrity</w:t>
            </w:r>
          </w:p>
        </w:tc>
        <w:tc>
          <w:tcPr/>
          <w:p>
            <w:pPr>
              <w:pStyle w:val="Compact"/>
              <w:jc w:val="left"/>
            </w:pPr>
            <w:r>
              <w:t xml:space="preserve">InfoBlox RPZ + TIDE; SASE SWG; Entra ID HRIT; NTLM monitoring</w:t>
            </w:r>
          </w:p>
        </w:tc>
        <w:tc>
          <w:tcPr/>
          <w:p>
            <w:pPr>
              <w:pStyle w:val="Compact"/>
              <w:jc w:val="left"/>
            </w:pPr>
            <w:r>
              <w:t xml:space="preserve">SI-3, SI-3(1), SI-4, SI-12</w:t>
            </w:r>
          </w:p>
        </w:tc>
        <w:tc>
          <w:tcPr/>
          <w:p>
            <w:pPr>
              <w:pStyle w:val="Compact"/>
              <w:jc w:val="left"/>
            </w:pPr>
            <w:r>
              <w:t xml:space="preserve">Parts 1, 5, 6, 7-8</w:t>
            </w:r>
          </w:p>
        </w:tc>
      </w:tr>
      <w:tr>
        <w:tc>
          <w:tcPr/>
          <w:p>
            <w:pPr>
              <w:pStyle w:val="Compact"/>
              <w:jc w:val="left"/>
            </w:pPr>
            <w:r>
              <w:rPr>
                <w:bCs/>
                <w:b/>
              </w:rPr>
              <w:t xml:space="preserve">PL</w:t>
            </w:r>
            <w:r>
              <w:t xml:space="preserve"> </w:t>
            </w:r>
            <w:r>
              <w:t xml:space="preserve">— Planning</w:t>
            </w:r>
          </w:p>
        </w:tc>
        <w:tc>
          <w:tcPr/>
          <w:p>
            <w:pPr>
              <w:pStyle w:val="Compact"/>
              <w:jc w:val="left"/>
            </w:pPr>
            <w:r>
              <w:t xml:space="preserve">InfoBlox Inherited FedRAMP ATO</w:t>
            </w:r>
          </w:p>
        </w:tc>
        <w:tc>
          <w:tcPr/>
          <w:p>
            <w:pPr>
              <w:pStyle w:val="Compact"/>
              <w:jc w:val="left"/>
            </w:pPr>
            <w:r>
              <w:t xml:space="preserve">PL-8</w:t>
            </w:r>
          </w:p>
        </w:tc>
        <w:tc>
          <w:tcPr/>
          <w:p>
            <w:pPr>
              <w:pStyle w:val="Compact"/>
              <w:jc w:val="left"/>
            </w:pPr>
            <w:r>
              <w:t xml:space="preserve">Part 1</w:t>
            </w:r>
          </w:p>
        </w:tc>
      </w:tr>
    </w:tbl>
    <w:bookmarkEnd w:id="61"/>
    <w:bookmarkStart w:id="62" w:name="control-count-comparison"/>
    <w:p>
      <w:pPr>
        <w:pStyle w:val="Heading2"/>
      </w:pPr>
      <w:r>
        <w:t xml:space="preserve">Control Count Comparison</w:t>
      </w:r>
    </w:p>
    <w:p>
      <w:pPr>
        <w:pStyle w:val="TableCaption"/>
      </w:pPr>
      <w:r>
        <w:t xml:space="preserve">Control Closure Summary {.striped .hover}</w:t>
      </w:r>
    </w:p>
    <w:tbl>
      <w:tblPr>
        <w:tblStyle w:val="Table"/>
        <w:tblW w:type="pct" w:w="5000"/>
        <w:tblLook w:firstRow="1" w:lastRow="0" w:firstColumn="0" w:lastColumn="0" w:noHBand="0" w:noVBand="0" w:val="0020"/>
        <w:jc w:val="start"/>
        <w:tblCaption w:val="Control Closure Summary {.striped .hover}"/>
      </w:tblPr>
      <w:tblGrid>
        <w:gridCol w:w="1584"/>
        <w:gridCol w:w="1584"/>
        <w:gridCol w:w="1584"/>
        <w:gridCol w:w="1584"/>
        <w:gridCol w:w="1584"/>
      </w:tblGrid>
      <w:tr>
        <w:trPr>
          <w:tblHeader w:val="true"/>
        </w:trPr>
        <w:tc>
          <w:tcPr/>
          <w:p>
            <w:pPr>
              <w:pStyle w:val="Compact"/>
              <w:jc w:val="left"/>
            </w:pPr>
            <w:r>
              <w:t xml:space="preserve">Implementation Track</w:t>
            </w:r>
          </w:p>
        </w:tc>
        <w:tc>
          <w:tcPr/>
          <w:p>
            <w:pPr>
              <w:pStyle w:val="Compact"/>
              <w:jc w:val="left"/>
            </w:pPr>
            <w:r>
              <w:t xml:space="preserve">Technology</w:t>
            </w:r>
          </w:p>
        </w:tc>
        <w:tc>
          <w:tcPr/>
          <w:p>
            <w:pPr>
              <w:pStyle w:val="Compact"/>
              <w:jc w:val="left"/>
            </w:pPr>
            <w:r>
              <w:t xml:space="preserve">Controls Open (Current)</w:t>
            </w:r>
          </w:p>
        </w:tc>
        <w:tc>
          <w:tcPr/>
          <w:p>
            <w:pPr>
              <w:pStyle w:val="Compact"/>
              <w:jc w:val="left"/>
            </w:pPr>
            <w:r>
              <w:t xml:space="preserve">Controls Closed (After)</w:t>
            </w:r>
          </w:p>
        </w:tc>
        <w:tc>
          <w:tcPr/>
          <w:p>
            <w:pPr>
              <w:pStyle w:val="Compact"/>
              <w:jc w:val="left"/>
            </w:pPr>
            <w:r>
              <w:t xml:space="preserve">Net Reduction</w:t>
            </w:r>
          </w:p>
        </w:tc>
      </w:tr>
      <w:tr>
        <w:tc>
          <w:tcPr/>
          <w:p>
            <w:pPr>
              <w:pStyle w:val="Compact"/>
              <w:jc w:val="left"/>
            </w:pPr>
            <w:r>
              <w:t xml:space="preserve">Part 1 — InfoBlox DDI Landing Zone</w:t>
            </w:r>
          </w:p>
        </w:tc>
        <w:tc>
          <w:tcPr/>
          <w:p>
            <w:pPr>
              <w:pStyle w:val="Compact"/>
              <w:jc w:val="left"/>
            </w:pPr>
            <w:r>
              <w:t xml:space="preserve">InfoBlox DDI (DNSSEC, RPZ, IPAM, PKI, Syslog)</w:t>
            </w:r>
          </w:p>
        </w:tc>
        <w:tc>
          <w:tcPr/>
          <w:p>
            <w:pPr>
              <w:pStyle w:val="Compact"/>
              <w:jc w:val="left"/>
            </w:pPr>
            <w:r>
              <w:t xml:space="preserve">16 open with manual/no evidence</w:t>
            </w:r>
          </w:p>
        </w:tc>
        <w:tc>
          <w:tcPr/>
          <w:p>
            <w:pPr>
              <w:pStyle w:val="Compact"/>
              <w:jc w:val="left"/>
            </w:pPr>
            <w:r>
              <w:t xml:space="preserve">16 closed with automated evidence</w:t>
            </w:r>
          </w:p>
        </w:tc>
        <w:tc>
          <w:tcPr/>
          <w:p>
            <w:pPr>
              <w:pStyle w:val="Compact"/>
              <w:jc w:val="left"/>
            </w:pPr>
            <w:r>
              <w:t xml:space="preserve">16 controls automated</w:t>
            </w:r>
          </w:p>
        </w:tc>
      </w:tr>
      <w:tr>
        <w:tc>
          <w:tcPr/>
          <w:p>
            <w:pPr>
              <w:pStyle w:val="Compact"/>
              <w:jc w:val="left"/>
            </w:pPr>
            <w:r>
              <w:t xml:space="preserve">Part 6 — SD-WAN + SASE (Telecom)</w:t>
            </w:r>
          </w:p>
        </w:tc>
        <w:tc>
          <w:tcPr/>
          <w:p>
            <w:pPr>
              <w:pStyle w:val="Compact"/>
              <w:jc w:val="left"/>
            </w:pPr>
            <w:r>
              <w:t xml:space="preserve">SD-WAN IPsec + SASE (SWG, CASB, FWaaS, ZTNA)</w:t>
            </w:r>
          </w:p>
        </w:tc>
        <w:tc>
          <w:tcPr/>
          <w:p>
            <w:pPr>
              <w:pStyle w:val="Compact"/>
              <w:jc w:val="left"/>
            </w:pPr>
            <w:r>
              <w:t xml:space="preserve">7 open; DIA alone satisfies none</w:t>
            </w:r>
          </w:p>
        </w:tc>
        <w:tc>
          <w:tcPr/>
          <w:p>
            <w:pPr>
              <w:pStyle w:val="Compact"/>
              <w:jc w:val="left"/>
            </w:pPr>
            <w:r>
              <w:t xml:space="preserve">7 closed by SASE stack</w:t>
            </w:r>
          </w:p>
        </w:tc>
        <w:tc>
          <w:tcPr/>
          <w:p>
            <w:pPr>
              <w:pStyle w:val="Compact"/>
              <w:jc w:val="left"/>
            </w:pPr>
            <w:r>
              <w:t xml:space="preserve">7 controls automated</w:t>
            </w:r>
          </w:p>
        </w:tc>
      </w:tr>
      <w:tr>
        <w:tc>
          <w:tcPr/>
          <w:p>
            <w:pPr>
              <w:pStyle w:val="Compact"/>
              <w:jc w:val="left"/>
            </w:pPr>
            <w:r>
              <w:t xml:space="preserve">Part 5 — Entra ID + ZTNA + Active Governance</w:t>
            </w:r>
          </w:p>
        </w:tc>
        <w:tc>
          <w:tcPr/>
          <w:p>
            <w:pPr>
              <w:pStyle w:val="Compact"/>
              <w:jc w:val="left"/>
            </w:pPr>
            <w:r>
              <w:t xml:space="preserve">Entra ID, Intune MDM, ZTNA, Active Governance</w:t>
            </w:r>
          </w:p>
        </w:tc>
        <w:tc>
          <w:tcPr/>
          <w:p>
            <w:pPr>
              <w:pStyle w:val="Compact"/>
              <w:jc w:val="left"/>
            </w:pPr>
            <w:r>
              <w:t xml:space="preserve">12 open or partially satisfied</w:t>
            </w:r>
          </w:p>
        </w:tc>
        <w:tc>
          <w:tcPr/>
          <w:p>
            <w:pPr>
              <w:pStyle w:val="Compact"/>
              <w:jc w:val="left"/>
            </w:pPr>
            <w:r>
              <w:t xml:space="preserve">12 closed with machine-readable evidence</w:t>
            </w:r>
          </w:p>
        </w:tc>
        <w:tc>
          <w:tcPr/>
          <w:p>
            <w:pPr>
              <w:pStyle w:val="Compact"/>
              <w:jc w:val="left"/>
            </w:pPr>
            <w:r>
              <w:t xml:space="preserve">12 controls automated</w:t>
            </w:r>
          </w:p>
        </w:tc>
      </w:tr>
      <w:tr>
        <w:tc>
          <w:tcPr/>
          <w:p>
            <w:pPr>
              <w:pStyle w:val="Compact"/>
              <w:jc w:val="left"/>
            </w:pPr>
            <w:r>
              <w:t xml:space="preserve">Parts 7–8 — SQL Server Authentication</w:t>
            </w:r>
          </w:p>
        </w:tc>
        <w:tc>
          <w:tcPr/>
          <w:p>
            <w:pPr>
              <w:pStyle w:val="Compact"/>
              <w:jc w:val="left"/>
            </w:pPr>
            <w:r>
              <w:t xml:space="preserve">Azure Arc + Entra ID for SQL; NTLM elimination</w:t>
            </w:r>
          </w:p>
        </w:tc>
        <w:tc>
          <w:tcPr/>
          <w:p>
            <w:pPr>
              <w:pStyle w:val="Compact"/>
              <w:jc w:val="left"/>
            </w:pPr>
            <w:r>
              <w:t xml:space="preserve">Authentication layer open across all SQL instances</w:t>
            </w:r>
          </w:p>
        </w:tc>
        <w:tc>
          <w:tcPr/>
          <w:p>
            <w:pPr>
              <w:pStyle w:val="Compact"/>
              <w:jc w:val="left"/>
            </w:pPr>
            <w:r>
              <w:t xml:space="preserve">Controls deepened to database tier; continuous SQL compliance record</w:t>
            </w:r>
          </w:p>
        </w:tc>
        <w:tc>
          <w:tcPr/>
          <w:p>
            <w:pPr>
              <w:pStyle w:val="Compact"/>
              <w:jc w:val="left"/>
            </w:pPr>
            <w:r>
              <w:t xml:space="preserve">SQL auth surface closed</w:t>
            </w:r>
          </w:p>
        </w:tc>
      </w:tr>
      <w:tr>
        <w:tc>
          <w:tcPr/>
          <w:p>
            <w:pPr>
              <w:pStyle w:val="Compact"/>
              <w:jc w:val="left"/>
            </w:pPr>
            <w:r>
              <w:t xml:space="preserve">Part 9 — Database Architecture + Network Physics</w:t>
            </w:r>
          </w:p>
        </w:tc>
        <w:tc>
          <w:tcPr/>
          <w:p>
            <w:pPr>
              <w:pStyle w:val="Compact"/>
              <w:jc w:val="left"/>
            </w:pPr>
            <w:r>
              <w:t xml:space="preserve">TDE; SD-WAN QoS; DR architecture; consistency alignment</w:t>
            </w:r>
          </w:p>
        </w:tc>
        <w:tc>
          <w:tcPr/>
          <w:p>
            <w:pPr>
              <w:pStyle w:val="Compact"/>
              <w:jc w:val="left"/>
            </w:pPr>
            <w:r>
              <w:t xml:space="preserve">7 distinct controls open</w:t>
            </w:r>
          </w:p>
        </w:tc>
        <w:tc>
          <w:tcPr/>
          <w:p>
            <w:pPr>
              <w:pStyle w:val="Compact"/>
              <w:jc w:val="left"/>
            </w:pPr>
            <w:r>
              <w:t xml:space="preserve">7 net new controls closed</w:t>
            </w:r>
          </w:p>
        </w:tc>
        <w:tc>
          <w:tcPr/>
          <w:p>
            <w:pPr>
              <w:pStyle w:val="Compact"/>
              <w:jc w:val="left"/>
            </w:pPr>
            <w:r>
              <w:t xml:space="preserve">7 controls added to series</w:t>
            </w:r>
          </w:p>
        </w:tc>
      </w:tr>
      <w:tr>
        <w:tc>
          <w:tcPr/>
          <w:p>
            <w:pPr>
              <w:pStyle w:val="Compact"/>
              <w:jc w:val="left"/>
            </w:pPr>
            <w:r>
              <w:rPr>
                <w:bCs/>
                <w:b/>
              </w:rPr>
              <w:t xml:space="preserve">Total</w:t>
            </w:r>
          </w:p>
        </w:tc>
        <w:tc>
          <w:tcPr/>
          <w:p>
            <w:pPr>
              <w:pStyle w:val="Compact"/>
              <w:jc w:val="left"/>
            </w:pPr>
            <w:r>
              <w:rPr>
                <w:bCs/>
                <w:b/>
              </w:rPr>
              <w:t xml:space="preserve">InfoBlox + SD-WAN/SASE + Entra/ZTNA + Arc/SQL</w:t>
            </w:r>
          </w:p>
        </w:tc>
        <w:tc>
          <w:tcPr/>
          <w:p>
            <w:pPr>
              <w:pStyle w:val="Compact"/>
              <w:jc w:val="left"/>
            </w:pPr>
            <w:r>
              <w:rPr>
                <w:bCs/>
                <w:b/>
              </w:rPr>
              <w:t xml:space="preserve">Substantial open / partially satisfied</w:t>
            </w:r>
          </w:p>
        </w:tc>
        <w:tc>
          <w:tcPr/>
          <w:p>
            <w:pPr>
              <w:pStyle w:val="Compact"/>
              <w:jc w:val="left"/>
            </w:pPr>
            <w:r>
              <w:rPr>
                <w:bCs/>
                <w:b/>
              </w:rPr>
              <w:t xml:space="preserve">34 distinct controls closed</w:t>
            </w:r>
          </w:p>
        </w:tc>
        <w:tc>
          <w:tcPr/>
          <w:p>
            <w:pPr>
              <w:pStyle w:val="Compact"/>
              <w:jc w:val="left"/>
            </w:pPr>
            <w:r>
              <w:rPr>
                <w:bCs/>
                <w:b/>
              </w:rPr>
              <w:t xml:space="preserve">34 controls with KSI-ready evidence</w:t>
            </w:r>
          </w:p>
        </w:tc>
      </w:tr>
    </w:tbl>
    <w:p>
      <w:pPr>
        <w:pStyle w:val="BlockText"/>
      </w:pPr>
      <w:r>
        <w:rPr>
          <w:bCs/>
          <w:b/>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62"/>
    <w:bookmarkStart w:id="63" w:name="what-closed-means-under-fedramp-20x"/>
    <w:p>
      <w:pPr>
        <w:pStyle w:val="Heading2"/>
      </w:pPr>
      <w:r>
        <w:t xml:space="preserve">What</w:t>
      </w:r>
      <w:r>
        <w:t xml:space="preserve"> </w:t>
      </w:r>
      <w:r>
        <w:t xml:space="preserve">“</w:t>
      </w:r>
      <w:r>
        <w:t xml:space="preserve">Closed</w:t>
      </w:r>
      <w:r>
        <w:t xml:space="preserve">”</w:t>
      </w:r>
      <w:r>
        <w:t xml:space="preserve"> </w:t>
      </w:r>
      <w:r>
        <w:t xml:space="preserve">Means Under FedRAMP 20x</w:t>
      </w:r>
    </w:p>
    <w:p>
      <w:pPr>
        <w:pStyle w:val="FirstParagraph"/>
      </w:pPr>
      <w:r>
        <w:t xml:space="preserve">FedRAMP 20x Consolidated Rules (June 25, 2026) replace periodic evidence assembly with</w:t>
      </w:r>
      <w:r>
        <w:t xml:space="preserve"> </w:t>
      </w:r>
      <w:r>
        <w:rPr>
          <w:bCs/>
          <w:b/>
        </w:rPr>
        <w:t xml:space="preserve">continuously-verified, machine-readable Key Security Indicators</w:t>
      </w:r>
      <w:r>
        <w:t xml:space="preserve">. A control is</w:t>
      </w:r>
      <w:r>
        <w:t xml:space="preserve"> </w:t>
      </w:r>
      <w:r>
        <w:t xml:space="preserve">“</w:t>
      </w:r>
      <w:r>
        <w:t xml:space="preserve">closed</w:t>
      </w:r>
      <w:r>
        <w:t xml:space="preserve">”</w:t>
      </w:r>
      <w:r>
        <w:t xml:space="preserve"> </w:t>
      </w:r>
      <w:r>
        <w:t xml:space="preserve">under FedRAMP 20x when:</w:t>
      </w:r>
    </w:p>
    <w:p>
      <w:pPr>
        <w:numPr>
          <w:ilvl w:val="0"/>
          <w:numId w:val="1014"/>
        </w:numPr>
        <w:pStyle w:val="Compact"/>
      </w:pPr>
      <w:r>
        <w:t xml:space="preserve">Evidence is generated</w:t>
      </w:r>
      <w:r>
        <w:t xml:space="preserve"> </w:t>
      </w:r>
      <w:r>
        <w:rPr>
          <w:bCs/>
          <w:b/>
        </w:rPr>
        <w:t xml:space="preserve">automatically</w:t>
      </w:r>
      <w:r>
        <w:t xml:space="preserve"> </w:t>
      </w:r>
      <w:r>
        <w:t xml:space="preserve">by infrastructure, not assembled manually by staff</w:t>
      </w:r>
    </w:p>
    <w:p>
      <w:pPr>
        <w:numPr>
          <w:ilvl w:val="0"/>
          <w:numId w:val="1014"/>
        </w:numPr>
        <w:pStyle w:val="Compact"/>
      </w:pPr>
      <w:r>
        <w:t xml:space="preserve">Evidence is in</w:t>
      </w:r>
      <w:r>
        <w:t xml:space="preserve"> </w:t>
      </w:r>
      <w:r>
        <w:rPr>
          <w:bCs/>
          <w:b/>
        </w:rPr>
        <w:t xml:space="preserve">machine-readable format</w:t>
      </w:r>
      <w:r>
        <w:t xml:space="preserve"> </w:t>
      </w:r>
      <w:r>
        <w:t xml:space="preserve">(structured JSON via API)</w:t>
      </w:r>
    </w:p>
    <w:p>
      <w:pPr>
        <w:numPr>
          <w:ilvl w:val="0"/>
          <w:numId w:val="1014"/>
        </w:numPr>
        <w:pStyle w:val="Compact"/>
      </w:pPr>
      <w:r>
        <w:t xml:space="preserve">Evidence is</w:t>
      </w:r>
      <w:r>
        <w:t xml:space="preserve"> </w:t>
      </w:r>
      <w:r>
        <w:rPr>
          <w:bCs/>
          <w:b/>
        </w:rPr>
        <w:t xml:space="preserve">continuously updated</w:t>
      </w:r>
      <w:r>
        <w:t xml:space="preserve"> </w:t>
      </w:r>
      <w:r>
        <w:t xml:space="preserve">— not point-in-time</w:t>
      </w:r>
    </w:p>
    <w:p>
      <w:pPr>
        <w:numPr>
          <w:ilvl w:val="0"/>
          <w:numId w:val="1014"/>
        </w:numPr>
        <w:pStyle w:val="Compact"/>
      </w:pPr>
      <w:r>
        <w:t xml:space="preserve">Evidence can be</w:t>
      </w:r>
      <w:r>
        <w:t xml:space="preserve"> </w:t>
      </w:r>
      <w:r>
        <w:rPr>
          <w:bCs/>
          <w:b/>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numPr>
          <w:ilvl w:val="0"/>
          <w:numId w:val="1015"/>
        </w:numPr>
        <w:pStyle w:val="Compact"/>
      </w:pPr>
      <w:r>
        <w:rPr>
          <w:bCs/>
          <w:b/>
        </w:rPr>
        <w:t xml:space="preserve">InfoBlox WAPI</w:t>
      </w:r>
      <w:r>
        <w:t xml:space="preserve"> </w:t>
      </w:r>
      <w:r>
        <w:t xml:space="preserve">exports all DDI evidence as structured JSON</w:t>
      </w:r>
    </w:p>
    <w:p>
      <w:pPr>
        <w:numPr>
          <w:ilvl w:val="0"/>
          <w:numId w:val="1015"/>
        </w:numPr>
        <w:pStyle w:val="Compact"/>
      </w:pPr>
      <w:r>
        <w:rPr>
          <w:bCs/>
          <w:b/>
        </w:rPr>
        <w:t xml:space="preserve">SASE stack</w:t>
      </w:r>
      <w:r>
        <w:t xml:space="preserve"> </w:t>
      </w:r>
      <w:r>
        <w:t xml:space="preserve">exports per-session telemetry in structured log format</w:t>
      </w:r>
    </w:p>
    <w:p>
      <w:pPr>
        <w:numPr>
          <w:ilvl w:val="0"/>
          <w:numId w:val="1015"/>
        </w:numPr>
        <w:pStyle w:val="Compact"/>
      </w:pPr>
      <w:r>
        <w:rPr>
          <w:bCs/>
          <w:b/>
        </w:rPr>
        <w:t xml:space="preserve">Active Governance control plane</w:t>
      </w:r>
      <w:r>
        <w:t xml:space="preserve"> </w:t>
      </w:r>
      <w:r>
        <w:t xml:space="preserve">generates desired-vs-actual JSON records as its primary output</w:t>
      </w:r>
    </w:p>
    <w:p>
      <w:pPr>
        <w:numPr>
          <w:ilvl w:val="0"/>
          <w:numId w:val="1015"/>
        </w:numPr>
        <w:pStyle w:val="Compact"/>
      </w:pPr>
      <w:r>
        <w:rPr>
          <w:bCs/>
          <w:b/>
        </w:rPr>
        <w:t xml:space="preserve">SQL continuous monitoring record</w:t>
      </w:r>
      <w:r>
        <w:t xml:space="preserve"> </w:t>
      </w:r>
      <w:r>
        <w:t xml:space="preserve">exports login type, NTLM event count, and Managed Identity coverage as daily structured JSON</w:t>
      </w:r>
    </w:p>
    <w:p>
      <w:pPr>
        <w:numPr>
          <w:ilvl w:val="0"/>
          <w:numId w:val="1015"/>
        </w:numPr>
        <w:pStyle w:val="Compact"/>
      </w:pPr>
      <w:r>
        <w:rPr>
          <w:bCs/>
          <w:b/>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Cs/>
          <w:b/>
        </w:rPr>
        <w:t xml:space="preserve">IS the FedRAMP 20x compliance posture</w:t>
      </w:r>
      <w:r>
        <w:t xml:space="preserve"> </w:t>
      </w:r>
      <w:r>
        <w:t xml:space="preserve">— not a compliance project layered on top of operations.</w:t>
      </w:r>
    </w:p>
    <w:p>
      <w:r>
        <w:pict>
          <v:rect style="width:0;height:1.5pt" o:hralign="center" o:hrstd="t" o:hr="t"/>
        </w:pict>
      </w:r>
    </w:p>
    <w:bookmarkEnd w:id="63"/>
    <w:bookmarkEnd w:id="64"/>
    <w:bookmarkStart w:id="70" w:name="X1dcc5f970527785b00bea4121aa336894765923"/>
    <w:p>
      <w:pPr>
        <w:pStyle w:val="Heading1"/>
      </w:pPr>
      <w:r>
        <w:t xml:space="preserve">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65" w:name="Xa81065e3c6a65dd344b5d14588b12711850ea25"/>
    <w:p>
      <w:pPr>
        <w:pStyle w:val="Heading2"/>
      </w:pPr>
      <w:r>
        <w:t xml:space="preserve">SR — Supply Chain Risk Management (BOD 26-04 Gate)</w:t>
      </w:r>
    </w:p>
    <w:p>
      <w:pPr>
        <w:pStyle w:val="FirstParagraph"/>
      </w:pPr>
      <w:r>
        <w:t xml:space="preserve">The BOD 26-04 VDR/VER requirement activates</w:t>
      </w:r>
      <w:r>
        <w:t xml:space="preserve"> </w:t>
      </w:r>
      <w:r>
        <w:rPr>
          <w:bCs/>
          <w:b/>
        </w:rPr>
        <w:t xml:space="preserve">December 7, 2026</w:t>
      </w:r>
      <w:r>
        <w:t xml:space="preserve">. KSI-011</w:t>
      </w:r>
      <w:r>
        <w:t xml:space="preserve"> </w:t>
      </w:r>
      <w:r>
        <w:t xml:space="preserve">through KSI-014 (KSI-SCR-MIT and KSI-SCR-MON) are now evaluable through Part 15.</w:t>
      </w:r>
    </w:p>
    <w:p>
      <w:pPr>
        <w:pStyle w:val="BodyText"/>
      </w:pPr>
      <w:r>
        <w:rPr>
          <w:bCs/>
          <w:b/>
        </w:rPr>
        <w:t xml:space="preserve">Controls closed:</w:t>
      </w:r>
      <w:r>
        <w:t xml:space="preserve"> </w:t>
      </w:r>
      <w:r>
        <w:t xml:space="preserve">SR-1, SR-2, SR-3, SR-5, SR-6, SR-8, SR-10, SR-11</w:t>
      </w:r>
    </w:p>
    <w:p>
      <w:pPr>
        <w:pStyle w:val="BodyText"/>
      </w:pPr>
      <w:r>
        <w:rPr>
          <w:bCs/>
          <w:b/>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65"/>
    <w:bookmarkStart w:id="66" w:name="pm-program-management"/>
    <w:p>
      <w:pPr>
        <w:pStyle w:val="Heading2"/>
      </w:pPr>
      <w:r>
        <w:t xml:space="preserve">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Cs/>
          <w:b/>
        </w:rPr>
        <w:t xml:space="preserve">Controls closed:</w:t>
      </w:r>
      <w:r>
        <w:t xml:space="preserve"> </w:t>
      </w:r>
      <w:r>
        <w:t xml:space="preserve">PM-1, PM-2, PM-5, PM-7, PM-9, PM-11, PM-14, PM-15, PM-30</w:t>
      </w:r>
    </w:p>
    <w:p>
      <w:pPr>
        <w:pStyle w:val="BodyText"/>
      </w:pPr>
      <w:r>
        <w:rPr>
          <w:bCs/>
          <w:b/>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66"/>
    <w:bookmarkStart w:id="67" w:name="pt-pii-processing-and-transparency"/>
    <w:p>
      <w:pPr>
        <w:pStyle w:val="Heading2"/>
      </w:pPr>
      <w:r>
        <w:t xml:space="preserve">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Cs/>
          <w:b/>
        </w:rPr>
        <w:t xml:space="preserve">Controls closed:</w:t>
      </w:r>
      <w:r>
        <w:t xml:space="preserve"> </w:t>
      </w:r>
      <w:r>
        <w:t xml:space="preserve">PT-1, PT-2, PT-3, PT-4, PT-5, PT-7</w:t>
      </w:r>
    </w:p>
    <w:p>
      <w:pPr>
        <w:pStyle w:val="BodyText"/>
      </w:pPr>
      <w:r>
        <w:rPr>
          <w:bCs/>
          <w:b/>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67"/>
    <w:bookmarkStart w:id="68" w:name="X461ed25ed3923a3d8b55e0e3965ec2f4255b061"/>
    <w:p>
      <w:pPr>
        <w:pStyle w:val="Heading2"/>
      </w:pPr>
      <w:r>
        <w:t xml:space="preserve">AT — Cybersecurity Awareness and Training (KSI-022 Gate)</w:t>
      </w:r>
    </w:p>
    <w:p>
      <w:pPr>
        <w:pStyle w:val="FirstParagraph"/>
      </w:pPr>
      <w:r>
        <w:t xml:space="preserve">The FedRAMP 20x KSI-CED-RAT (</w:t>
      </w:r>
      <w:r>
        <w:t xml:space="preserve">“</w:t>
      </w:r>
      <w:r>
        <w:t xml:space="preserve">Reviewing All Training</w:t>
      </w:r>
      <w:r>
        <w:t xml:space="preserve">”</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Cs/>
          <w:b/>
        </w:rPr>
        <w:t xml:space="preserve">Controls closed:</w:t>
      </w:r>
      <w:r>
        <w:t xml:space="preserve"> </w:t>
      </w:r>
      <w:r>
        <w:t xml:space="preserve">AT-2, AT-2(1), AT-2(2), AT-3, AT-3(3), AT-3(5), AT-4, CP-3, IR-2</w:t>
      </w:r>
    </w:p>
    <w:p>
      <w:pPr>
        <w:pStyle w:val="BodyText"/>
      </w:pPr>
      <w:r>
        <w:rPr>
          <w:bCs/>
          <w:b/>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68"/>
    <w:bookmarkStart w:id="69" w:name="priority-4-cr26-breadth-gaps-resolved"/>
    <w:p>
      <w:pPr>
        <w:pStyle w:val="Heading2"/>
      </w:pPr>
      <w:r>
        <w:t xml:space="preserve">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69"/>
    <w:bookmarkEnd w:id="70"/>
    <w:bookmarkStart w:id="71" w:name="Xe8a0cfc3dacfc499165fbb6b52941ca764a0109"/>
    <w:p>
      <w:pPr>
        <w:pStyle w:val="Heading1"/>
      </w:pPr>
      <w:r>
        <w:t xml:space="preserve">Conformance Adapter and OSCAL Emitter Framework</w:t>
      </w:r>
    </w:p>
    <w:p>
      <w:pPr>
        <w:pStyle w:val="FirstParagraph"/>
      </w:pPr>
      <w:r>
        <w:t xml:space="preserve">The nineteen-book series generates evidence. The</w:t>
      </w:r>
      <w:r>
        <w:t xml:space="preserve"> </w:t>
      </w:r>
      <w:r>
        <w:rPr>
          <w:bCs/>
          <w:b/>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Cs/>
          <w:b/>
        </w:rPr>
        <w:t xml:space="preserve">Current state — all components operational:</w:t>
      </w:r>
    </w:p>
    <w:tbl>
      <w:tblPr>
        <w:tblStyle w:val="Table"/>
        <w:tblW w:type="pct" w:w="5000"/>
        <w:tblLook w:firstRow="1" w:lastRow="0" w:firstColumn="0" w:lastColumn="0" w:noHBand="0" w:noVBand="0" w:val="0020"/>
        <w:jc w:val="start"/>
      </w:tblPr>
      <w:tblGrid>
        <w:gridCol w:w="3350"/>
        <w:gridCol w:w="2436"/>
        <w:gridCol w:w="2132"/>
      </w:tblGrid>
      <w:tr>
        <w:trPr>
          <w:tblHeader w:val="true"/>
        </w:trPr>
        <w:tc>
          <w:tcPr/>
          <w:p>
            <w:pPr>
              <w:pStyle w:val="Compact"/>
              <w:jc w:val="left"/>
            </w:pPr>
            <w:r>
              <w:t xml:space="preserve">Component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Conformance Adapter schema</w:t>
            </w:r>
          </w:p>
        </w:tc>
        <w:tc>
          <w:tcPr/>
          <w:p>
            <w:pPr>
              <w:pStyle w:val="Compact"/>
              <w:jc w:val="left"/>
            </w:pPr>
            <w:r>
              <w:t xml:space="preserve">Complete</w:t>
            </w:r>
          </w:p>
        </w:tc>
        <w:tc>
          <w:tcPr/>
          <w:p>
            <w:pPr>
              <w:pStyle w:val="Compact"/>
              <w:jc w:val="left"/>
            </w:pPr>
            <w:r>
              <w:t xml:space="preserve">29/29 KSIs mapped</w:t>
            </w:r>
          </w:p>
        </w:tc>
      </w:tr>
      <w:tr>
        <w:tc>
          <w:tcPr/>
          <w:p>
            <w:pPr>
              <w:pStyle w:val="Compact"/>
              <w:jc w:val="left"/>
            </w:pPr>
            <w:r>
              <w:t xml:space="preserve">Surface slots 1–8 (all slots)</w:t>
            </w:r>
          </w:p>
        </w:tc>
        <w:tc>
          <w:tcPr/>
          <w:p>
            <w:pPr>
              <w:pStyle w:val="Compact"/>
              <w:jc w:val="left"/>
            </w:pPr>
            <w:r>
              <w:t xml:space="preserve">Bound to AAN evidence</w:t>
            </w:r>
          </w:p>
        </w:tc>
        <w:tc>
          <w:tcPr/>
          <w:p>
            <w:pPr>
              <w:pStyle w:val="Compact"/>
              <w:jc w:val="left"/>
            </w:pPr>
            <w:r>
              <w:t xml:space="preserve">slot-08 training activated by Part 18</w:t>
            </w:r>
          </w:p>
        </w:tc>
      </w:tr>
      <w:tr>
        <w:tc>
          <w:tcPr/>
          <w:p>
            <w:pPr>
              <w:pStyle w:val="Compact"/>
              <w:jc w:val="left"/>
            </w:pPr>
            <w:r>
              <w:t xml:space="preserve">OSCAL AP</w:t>
            </w:r>
          </w:p>
        </w:tc>
        <w:tc>
          <w:tcPr/>
          <w:p>
            <w:pPr>
              <w:pStyle w:val="Compact"/>
              <w:jc w:val="left"/>
            </w:pPr>
            <w:r>
              <w:t xml:space="preserve">Complete</w:t>
            </w:r>
          </w:p>
        </w:tc>
        <w:tc>
          <w:tcPr/>
          <w:p>
            <w:pPr>
              <w:pStyle w:val="Compact"/>
              <w:jc w:val="left"/>
            </w:pPr>
            <w:r>
              <w:t xml:space="preserve">10 themes, 32 CR26 controls</w:t>
            </w:r>
          </w:p>
        </w:tc>
      </w:tr>
      <w:tr>
        <w:tc>
          <w:tcPr/>
          <w:p>
            <w:pPr>
              <w:pStyle w:val="Compact"/>
              <w:jc w:val="left"/>
            </w:pPr>
            <w:r>
              <w:t xml:space="preserve">OSCAL AR</w:t>
            </w:r>
          </w:p>
        </w:tc>
        <w:tc>
          <w:tcPr/>
          <w:p>
            <w:pPr>
              <w:pStyle w:val="Compact"/>
              <w:jc w:val="left"/>
            </w:pPr>
            <w:r>
              <w:t xml:space="preserve">Complete</w:t>
            </w:r>
          </w:p>
        </w:tc>
        <w:tc>
          <w:tcPr/>
          <w:p>
            <w:pPr>
              <w:pStyle w:val="Compact"/>
              <w:jc w:val="left"/>
            </w:pPr>
            <w:r>
              <w:t xml:space="preserve">29 findings, 0 open risks, 0 not-satisfied</w:t>
            </w:r>
          </w:p>
        </w:tc>
      </w:tr>
      <w:tr>
        <w:tc>
          <w:tcPr/>
          <w:p>
            <w:pPr>
              <w:pStyle w:val="Compact"/>
              <w:jc w:val="left"/>
            </w:pPr>
            <w:r>
              <w:t xml:space="preserve">OSCAL POA&amp;M</w:t>
            </w:r>
          </w:p>
        </w:tc>
        <w:tc>
          <w:tcPr/>
          <w:p>
            <w:pPr>
              <w:pStyle w:val="Compact"/>
              <w:jc w:val="left"/>
            </w:pPr>
            <w:r>
              <w:t xml:space="preserve">Complete</w:t>
            </w:r>
          </w:p>
        </w:tc>
        <w:tc>
          <w:tcPr/>
          <w:p>
            <w:pPr>
              <w:pStyle w:val="Compact"/>
              <w:jc w:val="left"/>
            </w:pPr>
            <w:r>
              <w:t xml:space="preserve">0 items — all KSIs satisfied</w:t>
            </w:r>
          </w:p>
        </w:tc>
      </w:tr>
      <w:tr>
        <w:tc>
          <w:tcPr/>
          <w:p>
            <w:pPr>
              <w:pStyle w:val="Compact"/>
              <w:jc w:val="left"/>
            </w:pPr>
            <w:r>
              <w:t xml:space="preserve">ScuBA adapter (KSI-001..010)</w:t>
            </w:r>
          </w:p>
        </w:tc>
        <w:tc>
          <w:tcPr/>
          <w:p>
            <w:pPr>
              <w:pStyle w:val="Compact"/>
              <w:jc w:val="left"/>
            </w:pPr>
            <w:r>
              <w:t xml:space="preserve">Active</w:t>
            </w:r>
          </w:p>
        </w:tc>
        <w:tc>
          <w:tcPr/>
          <w:p>
            <w:pPr>
              <w:pStyle w:val="Compact"/>
              <w:jc w:val="left"/>
            </w:pPr>
            <w:r>
              <w:t xml:space="preserve">CISA ScuBAGear M365 continuous assessment</w:t>
            </w:r>
          </w:p>
        </w:tc>
      </w:tr>
      <w:tr>
        <w:tc>
          <w:tcPr/>
          <w:p>
            <w:pPr>
              <w:pStyle w:val="Compact"/>
              <w:jc w:val="left"/>
            </w:pPr>
            <w:r>
              <w:t xml:space="preserve">Slot evaluator (KSI-011..029)</w:t>
            </w:r>
          </w:p>
        </w:tc>
        <w:tc>
          <w:tcPr/>
          <w:p>
            <w:pPr>
              <w:pStyle w:val="Compact"/>
              <w:jc w:val="left"/>
            </w:pPr>
            <w:r>
              <w:t xml:space="preserve">Active</w:t>
            </w:r>
          </w:p>
        </w:tc>
        <w:tc>
          <w:tcPr/>
          <w:p>
            <w:pPr>
              <w:pStyle w:val="Compact"/>
              <w:jc w:val="lef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71"/>
    <w:bookmarkStart w:id="77" w:name="implementation-priority-and-sequencing"/>
    <w:p>
      <w:pPr>
        <w:pStyle w:val="Heading1"/>
      </w:pPr>
      <w:r>
        <w:t xml:space="preserve">Implementation Priority and Sequencing</w:t>
      </w:r>
    </w:p>
    <w:p>
      <w:pPr>
        <w:pStyle w:val="CaptionedFigure"/>
      </w:pPr>
      <w:r>
        <w:drawing>
          <wp:inline>
            <wp:extent cx="5334000" cy="2051538"/>
            <wp:effectExtent b="0" l="0" r="0" t="0"/>
            <wp:docPr descr="Implementation Sequencing — Path to FedRAMP 20x Mandatory Compliance by January 1 2027" title="" id="73" name="Picture"/>
            <a:graphic>
              <a:graphicData uri="http://schemas.openxmlformats.org/drawingml/2006/picture">
                <pic:pic>
                  <pic:nvPicPr>
                    <pic:cNvPr descr="figs/es-fig-04-sequencing-roadmap.png" id="74" name="Picture"/>
                    <pic:cNvPicPr>
                      <a:picLocks noChangeArrowheads="1" noChangeAspect="1"/>
                    </pic:cNvPicPr>
                  </pic:nvPicPr>
                  <pic:blipFill>
                    <a:blip r:embed="rId7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 {.striped .hover}</w:t>
      </w:r>
    </w:p>
    <w:tbl>
      <w:tblPr>
        <w:tblStyle w:val="Table"/>
        <w:tblW w:type="pct" w:w="5000"/>
        <w:tblLook w:firstRow="1" w:lastRow="0" w:firstColumn="0" w:lastColumn="0" w:noHBand="0" w:noVBand="0" w:val="0020"/>
        <w:jc w:val="start"/>
        <w:tblCaption w:val="Implementation Priority, Technology, and Sequencing {.striped .hover}"/>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Track</w:t>
            </w:r>
          </w:p>
        </w:tc>
        <w:tc>
          <w:tcPr/>
          <w:p>
            <w:pPr>
              <w:pStyle w:val="Compact"/>
              <w:jc w:val="left"/>
            </w:pPr>
            <w:r>
              <w:t xml:space="preserve">Technology</w:t>
            </w:r>
          </w:p>
        </w:tc>
        <w:tc>
          <w:tcPr/>
          <w:p>
            <w:pPr>
              <w:pStyle w:val="Compact"/>
              <w:jc w:val="left"/>
            </w:pPr>
            <w:r>
              <w:t xml:space="preserve">Rationale</w:t>
            </w:r>
          </w:p>
        </w:tc>
      </w:tr>
      <w:tr>
        <w:tc>
          <w:tcPr/>
          <w:p>
            <w:pPr>
              <w:pStyle w:val="Compact"/>
              <w:jc w:val="left"/>
            </w:pPr>
            <w:r>
              <w:rPr>
                <w:bCs/>
                <w:b/>
              </w:rPr>
              <w:t xml:space="preserve">1 — Immediate</w:t>
            </w:r>
          </w:p>
        </w:tc>
        <w:tc>
          <w:tcPr/>
          <w:p>
            <w:pPr>
              <w:pStyle w:val="Compact"/>
              <w:jc w:val="left"/>
            </w:pPr>
            <w:r>
              <w:t xml:space="preserve">Part 1: InfoBlox DDI Landing Zone</w:t>
            </w:r>
          </w:p>
        </w:tc>
        <w:tc>
          <w:tcPr/>
          <w:p>
            <w:pPr>
              <w:pStyle w:val="Compact"/>
              <w:jc w:val="left"/>
            </w:pPr>
            <w:r>
              <w:t xml:space="preserve">InfoBlox DDI (DNSSEC, RPZ, IPAM, PKI, Syslog)</w:t>
            </w:r>
          </w:p>
        </w:tc>
        <w:tc>
          <w:tcPr/>
          <w:p>
            <w:pPr>
              <w:pStyle w:val="Compact"/>
              <w:jc w:val="lef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jc w:val="left"/>
            </w:pPr>
            <w:r>
              <w:rPr>
                <w:bCs/>
                <w:b/>
              </w:rPr>
              <w:t xml:space="preserve">1a — Concurrent with Part 1</w:t>
            </w:r>
          </w:p>
        </w:tc>
        <w:tc>
          <w:tcPr/>
          <w:p>
            <w:pPr>
              <w:pStyle w:val="Compact"/>
              <w:jc w:val="left"/>
            </w:pPr>
            <w:r>
              <w:t xml:space="preserve">Part 2: Network Access Control</w:t>
            </w:r>
          </w:p>
        </w:tc>
        <w:tc>
          <w:tcPr/>
          <w:p>
            <w:pPr>
              <w:pStyle w:val="Compact"/>
              <w:jc w:val="left"/>
            </w:pPr>
            <w:r>
              <w:t xml:space="preserve">802.1X EAP-TLS + RADIUS + Intune SCEP</w:t>
            </w:r>
          </w:p>
        </w:tc>
        <w:tc>
          <w:tcPr/>
          <w:p>
            <w:pPr>
              <w:pStyle w:val="Compact"/>
              <w:jc w:val="lef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jc w:val="left"/>
            </w:pPr>
            <w:r>
              <w:rPr>
                <w:bCs/>
                <w:b/>
              </w:rPr>
              <w:t xml:space="preserve">1b — Precedes Parts 5 and 7–8</w:t>
            </w:r>
          </w:p>
        </w:tc>
        <w:tc>
          <w:tcPr/>
          <w:p>
            <w:pPr>
              <w:pStyle w:val="Compact"/>
              <w:jc w:val="left"/>
            </w:pPr>
            <w:r>
              <w:t xml:space="preserve">Part 3: Certificates &amp; Tokens</w:t>
            </w:r>
          </w:p>
        </w:tc>
        <w:tc>
          <w:tcPr/>
          <w:p>
            <w:pPr>
              <w:pStyle w:val="Compact"/>
              <w:jc w:val="left"/>
            </w:pPr>
            <w:r>
              <w:t xml:space="preserve">Entra ID CBA + ACME + managed identity</w:t>
            </w:r>
          </w:p>
        </w:tc>
        <w:tc>
          <w:tcPr/>
          <w:p>
            <w:pPr>
              <w:pStyle w:val="Compact"/>
              <w:jc w:val="lef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jc w:val="left"/>
            </w:pPr>
            <w:r>
              <w:rPr>
                <w:bCs/>
                <w:b/>
              </w:rPr>
              <w:t xml:space="preserve">1c — Precedes Part 5</w:t>
            </w:r>
          </w:p>
        </w:tc>
        <w:tc>
          <w:tcPr/>
          <w:p>
            <w:pPr>
              <w:pStyle w:val="Compact"/>
              <w:jc w:val="left"/>
            </w:pPr>
            <w:r>
              <w:t xml:space="preserve">Part 4: HRIT Identity &amp; Org SSOT</w:t>
            </w:r>
          </w:p>
        </w:tc>
        <w:tc>
          <w:tcPr/>
          <w:p>
            <w:pPr>
              <w:pStyle w:val="Compact"/>
              <w:jc w:val="left"/>
            </w:pPr>
            <w:r>
              <w:t xml:space="preserve">Oracle HCM Cloud + Entra inbound provisioning (Spec2-D3.1)</w:t>
            </w:r>
          </w:p>
        </w:tc>
        <w:tc>
          <w:tcPr/>
          <w:p>
            <w:pPr>
              <w:pStyle w:val="Compact"/>
              <w:jc w:val="lef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jc w:val="left"/>
            </w:pPr>
            <w:r>
              <w:rPr>
                <w:bCs/>
                <w:b/>
              </w:rPr>
              <w:t xml:space="preserve">2 — Concurrent with Part 1</w:t>
            </w:r>
          </w:p>
        </w:tc>
        <w:tc>
          <w:tcPr/>
          <w:p>
            <w:pPr>
              <w:pStyle w:val="Compact"/>
              <w:jc w:val="left"/>
            </w:pPr>
            <w:r>
              <w:t xml:space="preserve">Part 6: SD-WAN + SASE</w:t>
            </w:r>
          </w:p>
        </w:tc>
        <w:tc>
          <w:tcPr/>
          <w:p>
            <w:pPr>
              <w:pStyle w:val="Compact"/>
              <w:jc w:val="left"/>
            </w:pPr>
            <w:r>
              <w:t xml:space="preserve">SD-WAN (Cisco/VMware/Palo Alto) + SASE (Zscaler/Netskope/Prisma)</w:t>
            </w:r>
          </w:p>
        </w:tc>
        <w:tc>
          <w:tcPr/>
          <w:p>
            <w:pPr>
              <w:pStyle w:val="Compact"/>
              <w:jc w:val="lef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jc w:val="left"/>
            </w:pPr>
            <w:r>
              <w:rPr>
                <w:bCs/>
                <w:b/>
              </w:rPr>
              <w:t xml:space="preserve">3 — Structured program</w:t>
            </w:r>
          </w:p>
        </w:tc>
        <w:tc>
          <w:tcPr/>
          <w:p>
            <w:pPr>
              <w:pStyle w:val="Compact"/>
              <w:jc w:val="left"/>
            </w:pPr>
            <w:r>
              <w:t xml:space="preserve">Part 5: Entra ID + ZTNA + Active Governance</w:t>
            </w:r>
          </w:p>
        </w:tc>
        <w:tc>
          <w:tcPr/>
          <w:p>
            <w:pPr>
              <w:pStyle w:val="Compact"/>
              <w:jc w:val="left"/>
            </w:pPr>
            <w:r>
              <w:t xml:space="preserve">Entra ID, Intune MDM, ZTNA overlay, Active Governance control plane</w:t>
            </w:r>
          </w:p>
        </w:tc>
        <w:tc>
          <w:tcPr/>
          <w:p>
            <w:pPr>
              <w:pStyle w:val="Compact"/>
              <w:jc w:val="left"/>
            </w:pPr>
            <w:r>
              <w:t xml:space="preserve">The largest structural change — replacing session-based with token-based identity. Plan as a multi-phase program; SSOT restoration (Principle 1) must precede token rollout (Principle 3).</w:t>
            </w:r>
          </w:p>
        </w:tc>
      </w:tr>
      <w:tr>
        <w:tc>
          <w:tcPr/>
          <w:p>
            <w:pPr>
              <w:pStyle w:val="Compact"/>
              <w:jc w:val="left"/>
            </w:pPr>
            <w:r>
              <w:rPr>
                <w:bCs/>
                <w:b/>
              </w:rPr>
              <w:t xml:space="preserve">4 — In parallel with Part 5</w:t>
            </w:r>
          </w:p>
        </w:tc>
        <w:tc>
          <w:tcPr/>
          <w:p>
            <w:pPr>
              <w:pStyle w:val="Compact"/>
              <w:jc w:val="left"/>
            </w:pPr>
            <w:r>
              <w:t xml:space="preserve">Parts 7–8: SQL Server Authentication</w:t>
            </w:r>
          </w:p>
        </w:tc>
        <w:tc>
          <w:tcPr/>
          <w:p>
            <w:pPr>
              <w:pStyle w:val="Compact"/>
              <w:jc w:val="left"/>
            </w:pPr>
            <w:r>
              <w:t xml:space="preserve">Azure Arc + Entra ID for SQL; NTLM elimination program</w:t>
            </w:r>
          </w:p>
        </w:tc>
        <w:tc>
          <w:tcPr/>
          <w:p>
            <w:pPr>
              <w:pStyle w:val="Compact"/>
              <w:jc w:val="lef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jc w:val="left"/>
            </w:pPr>
            <w:r>
              <w:rPr>
                <w:bCs/>
                <w:b/>
              </w:rPr>
              <w:t xml:space="preserve">5 — Concurrent with Parts 7–8</w:t>
            </w:r>
          </w:p>
        </w:tc>
        <w:tc>
          <w:tcPr/>
          <w:p>
            <w:pPr>
              <w:pStyle w:val="Compact"/>
              <w:jc w:val="left"/>
            </w:pPr>
            <w:r>
              <w:t xml:space="preserve">Part 9: Database Architecture</w:t>
            </w:r>
          </w:p>
        </w:tc>
        <w:tc>
          <w:tcPr/>
          <w:p>
            <w:pPr>
              <w:pStyle w:val="Compact"/>
              <w:jc w:val="left"/>
            </w:pPr>
            <w:r>
              <w:t xml:space="preserve">TDE; SD-WAN QoS for DB traffic; DR architecture; consistency alignment</w:t>
            </w:r>
          </w:p>
        </w:tc>
        <w:tc>
          <w:tcPr/>
          <w:p>
            <w:pPr>
              <w:pStyle w:val="Compact"/>
              <w:jc w:val="left"/>
            </w:pPr>
            <w:r>
              <w:t xml:space="preserve">TDE can be applied immediately; SD-WAN QoS for database traffic is a configuration change if SD-WAN is deployed; DR architecture is an ongoing program.</w:t>
            </w:r>
          </w:p>
        </w:tc>
      </w:tr>
    </w:tbl>
    <w:p>
      <w:pPr>
        <w:pStyle w:val="BodyText"/>
      </w:pPr>
      <w:r>
        <w:rPr>
          <w:bCs/>
          <w:b/>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75" w:name="phased-delivery-roadmap"/>
    <w:p>
      <w:pPr>
        <w:pStyle w:val="Heading2"/>
      </w:pPr>
      <w:r>
        <w:t xml:space="preserve">Phased Delivery Roadmap</w:t>
      </w:r>
    </w:p>
    <w:p>
      <w:pPr>
        <w:pStyle w:val="TableCaption"/>
      </w:pPr>
      <w:r>
        <w:t xml:space="preserve">Phased Delivery Roadmap — Phase 0 through Phase 6 {.striped .hover}</w:t>
      </w:r>
    </w:p>
    <w:tbl>
      <w:tblPr>
        <w:tblStyle w:val="Table"/>
        <w:tblW w:type="pct" w:w="5000"/>
        <w:tblLook w:firstRow="1" w:lastRow="0" w:firstColumn="0" w:lastColumn="0" w:noHBand="0" w:noVBand="0" w:val="0020"/>
        <w:jc w:val="start"/>
        <w:tblCaption w:val="Phased Delivery Roadmap — Phase 0 through Phase 6 {.striped .hover}"/>
      </w:tblPr>
      <w:tblGrid>
        <w:gridCol w:w="1421"/>
        <w:gridCol w:w="2030"/>
        <w:gridCol w:w="1624"/>
        <w:gridCol w:w="2843"/>
      </w:tblGrid>
      <w:tr>
        <w:trPr>
          <w:tblHeader w:val="true"/>
        </w:trPr>
        <w:tc>
          <w:tcPr/>
          <w:p>
            <w:pPr>
              <w:pStyle w:val="Compact"/>
              <w:jc w:val="left"/>
            </w:pPr>
            <w:r>
              <w:t xml:space="preserve">Phase</w:t>
            </w:r>
          </w:p>
        </w:tc>
        <w:tc>
          <w:tcPr/>
          <w:p>
            <w:pPr>
              <w:pStyle w:val="Compact"/>
              <w:jc w:val="left"/>
            </w:pPr>
            <w:r>
              <w:t xml:space="preserve">Timeline</w:t>
            </w:r>
          </w:p>
        </w:tc>
        <w:tc>
          <w:tcPr/>
          <w:p>
            <w:pPr>
              <w:pStyle w:val="Compact"/>
              <w:jc w:val="left"/>
            </w:pPr>
            <w:r>
              <w:t xml:space="preserve">Status</w:t>
            </w:r>
          </w:p>
        </w:tc>
        <w:tc>
          <w:tcPr/>
          <w:p>
            <w:pPr>
              <w:pStyle w:val="Compact"/>
              <w:jc w:val="left"/>
            </w:pPr>
            <w:r>
              <w:t xml:space="preserve">Deliverables</w:t>
            </w:r>
          </w:p>
        </w:tc>
      </w:tr>
      <w:tr>
        <w:tc>
          <w:tcPr/>
          <w:p>
            <w:pPr>
              <w:pStyle w:val="Compact"/>
              <w:jc w:val="left"/>
            </w:pPr>
            <w:r>
              <w:rPr>
                <w:bCs/>
                <w:b/>
              </w:rPr>
              <w:t xml:space="preserve">Phase 0</w:t>
            </w:r>
          </w:p>
        </w:tc>
        <w:tc>
          <w:tcPr/>
          <w:p>
            <w:pPr>
              <w:pStyle w:val="Compact"/>
              <w:jc w:val="left"/>
            </w:pPr>
            <w:r>
              <w:t xml:space="preserve">July 2026</w:t>
            </w:r>
          </w:p>
        </w:tc>
        <w:tc>
          <w:tcPr/>
          <w:p>
            <w:pPr>
              <w:pStyle w:val="Compact"/>
              <w:jc w:val="left"/>
            </w:pPr>
            <w:r>
              <w:t xml:space="preserve">✅ Complete</w:t>
            </w:r>
          </w:p>
        </w:tc>
        <w:tc>
          <w:tcPr/>
          <w:p>
            <w:pPr>
              <w:pStyle w:val="Compact"/>
              <w:jc w:val="left"/>
            </w:pPr>
            <w:r>
              <w:t xml:space="preserve">Parts 1 and 5–14 delivered; Conformance Adapter slots 1–4 bound</w:t>
            </w:r>
          </w:p>
        </w:tc>
      </w:tr>
      <w:tr>
        <w:tc>
          <w:tcPr/>
          <w:p>
            <w:pPr>
              <w:pStyle w:val="Compact"/>
              <w:jc w:val="left"/>
            </w:pPr>
            <w:r>
              <w:rPr>
                <w:bCs/>
                <w:b/>
              </w:rPr>
              <w:t xml:space="preserve">Phase 1</w:t>
            </w:r>
          </w:p>
        </w:tc>
        <w:tc>
          <w:tcPr/>
          <w:p>
            <w:pPr>
              <w:pStyle w:val="Compact"/>
              <w:jc w:val="left"/>
            </w:pPr>
            <w:r>
              <w:t xml:space="preserve">August 2026</w:t>
            </w:r>
          </w:p>
        </w:tc>
        <w:tc>
          <w:tcPr/>
          <w:p>
            <w:pPr>
              <w:pStyle w:val="Compact"/>
              <w:jc w:val="left"/>
            </w:pPr>
            <w:r>
              <w:t xml:space="preserve">✅ Complete</w:t>
            </w:r>
          </w:p>
        </w:tc>
        <w:tc>
          <w:tcPr/>
          <w:p>
            <w:pPr>
              <w:pStyle w:val="Compact"/>
              <w:jc w:val="left"/>
            </w:pPr>
            <w:r>
              <w:t xml:space="preserve">Part 15 SR/SBOM/VDR; Adapter SR slot bound; KSI-011–014 → active</w:t>
            </w:r>
          </w:p>
        </w:tc>
      </w:tr>
      <w:tr>
        <w:tc>
          <w:tcPr/>
          <w:p>
            <w:pPr>
              <w:pStyle w:val="Compact"/>
              <w:jc w:val="left"/>
            </w:pPr>
            <w:r>
              <w:rPr>
                <w:bCs/>
                <w:b/>
              </w:rPr>
              <w:t xml:space="preserve">Phase 2</w:t>
            </w:r>
          </w:p>
        </w:tc>
        <w:tc>
          <w:tcPr/>
          <w:p>
            <w:pPr>
              <w:pStyle w:val="Compact"/>
              <w:jc w:val="left"/>
            </w:pPr>
            <w:r>
              <w:t xml:space="preserve">Sep–Oct 2026</w:t>
            </w:r>
          </w:p>
        </w:tc>
        <w:tc>
          <w:tcPr/>
          <w:p>
            <w:pPr>
              <w:pStyle w:val="Compact"/>
              <w:jc w:val="left"/>
            </w:pPr>
            <w:r>
              <w:t xml:space="preserve">✅ Complete</w:t>
            </w:r>
          </w:p>
        </w:tc>
        <w:tc>
          <w:tcPr/>
          <w:p>
            <w:pPr>
              <w:pStyle w:val="Compact"/>
              <w:jc w:val="left"/>
            </w:pPr>
            <w:r>
              <w:t xml:space="preserve">OSCAL Emitter AR output; Part 16 PM governance artifacts; CR26 SR/PM rules</w:t>
            </w:r>
          </w:p>
        </w:tc>
      </w:tr>
      <w:tr>
        <w:tc>
          <w:tcPr/>
          <w:p>
            <w:pPr>
              <w:pStyle w:val="Compact"/>
              <w:jc w:val="left"/>
            </w:pPr>
            <w:r>
              <w:rPr>
                <w:bCs/>
                <w:b/>
              </w:rPr>
              <w:t xml:space="preserve">Phase 3</w:t>
            </w:r>
          </w:p>
        </w:tc>
        <w:tc>
          <w:tcPr/>
          <w:p>
            <w:pPr>
              <w:pStyle w:val="Compact"/>
              <w:jc w:val="left"/>
            </w:pPr>
            <w:r>
              <w:t xml:space="preserve">November 2026</w:t>
            </w:r>
          </w:p>
        </w:tc>
        <w:tc>
          <w:tcPr/>
          <w:p>
            <w:pPr>
              <w:pStyle w:val="Compact"/>
              <w:jc w:val="left"/>
            </w:pPr>
            <w:r>
              <w:t xml:space="preserve">✅ Complete</w:t>
            </w:r>
          </w:p>
        </w:tc>
        <w:tc>
          <w:tcPr/>
          <w:p>
            <w:pPr>
              <w:pStyle w:val="Compact"/>
              <w:jc w:val="left"/>
            </w:pPr>
            <w:r>
              <w:t xml:space="preserve">Part 17 PT/PII templates; Part 18 AT training program; KSI-022 → active; all 29 CR26 KSIs evaluable</w:t>
            </w:r>
          </w:p>
        </w:tc>
      </w:tr>
      <w:tr>
        <w:tc>
          <w:tcPr/>
          <w:p>
            <w:pPr>
              <w:pStyle w:val="Compact"/>
              <w:jc w:val="left"/>
            </w:pPr>
            <w:r>
              <w:rPr>
                <w:bCs/>
                <w:b/>
              </w:rPr>
              <w:t xml:space="preserve">Phase 4</w:t>
            </w:r>
          </w:p>
        </w:tc>
        <w:tc>
          <w:tcPr/>
          <w:p>
            <w:pPr>
              <w:pStyle w:val="Compact"/>
              <w:jc w:val="left"/>
            </w:pPr>
            <w:r>
              <w:t xml:space="preserve">December 2026</w:t>
            </w:r>
          </w:p>
        </w:tc>
        <w:tc>
          <w:tcPr/>
          <w:p>
            <w:pPr>
              <w:pStyle w:val="Compact"/>
              <w:jc w:val="left"/>
            </w:pPr>
            <w:r>
              <w:t xml:space="preserve">✅ Complete</w:t>
            </w:r>
          </w:p>
        </w:tc>
        <w:tc>
          <w:tcPr/>
          <w:p>
            <w:pPr>
              <w:pStyle w:val="Compact"/>
              <w:jc w:val="left"/>
            </w:pPr>
            <w:r>
              <w:t xml:space="preserve">BOD 26-04 VDR/VER submission (Dec 7); Authorization package filed; OSCAL AP+AR+POAM bundle (29/29 self-assessed, pending 3PAO validation)</w:t>
            </w:r>
          </w:p>
        </w:tc>
      </w:tr>
      <w:tr>
        <w:tc>
          <w:tcPr/>
          <w:p>
            <w:pPr>
              <w:pStyle w:val="Compact"/>
              <w:jc w:val="left"/>
            </w:pPr>
            <w:r>
              <w:rPr>
                <w:bCs/>
                <w:b/>
              </w:rPr>
              <w:t xml:space="preserve">Phase 5</w:t>
            </w:r>
          </w:p>
        </w:tc>
        <w:tc>
          <w:tcPr/>
          <w:p>
            <w:pPr>
              <w:pStyle w:val="Compact"/>
              <w:jc w:val="left"/>
            </w:pPr>
            <w:r>
              <w:t xml:space="preserve">January 2027</w:t>
            </w:r>
          </w:p>
        </w:tc>
        <w:tc>
          <w:tcPr/>
          <w:p>
            <w:pPr>
              <w:pStyle w:val="Compact"/>
              <w:jc w:val="left"/>
            </w:pPr>
            <w:r>
              <w:t xml:space="preserve">✅ Complete</w:t>
            </w:r>
          </w:p>
        </w:tc>
        <w:tc>
          <w:tcPr/>
          <w:p>
            <w:pPr>
              <w:pStyle w:val="Compact"/>
              <w:jc w:val="left"/>
            </w:pPr>
            <w:r>
              <w:t xml:space="preserve">FedRAMP 20x mandatory deadline; All 19 books operational; Continuous monitoring cadence established</w:t>
            </w:r>
          </w:p>
        </w:tc>
      </w:tr>
      <w:tr>
        <w:tc>
          <w:tcPr/>
          <w:p>
            <w:pPr>
              <w:pStyle w:val="Compact"/>
              <w:jc w:val="left"/>
            </w:pPr>
            <w:r>
              <w:rPr>
                <w:bCs/>
                <w:b/>
              </w:rPr>
              <w:t xml:space="preserve">Phase 6</w:t>
            </w:r>
          </w:p>
        </w:tc>
        <w:tc>
          <w:tcPr/>
          <w:p>
            <w:pPr>
              <w:pStyle w:val="Compact"/>
              <w:jc w:val="left"/>
            </w:pPr>
            <w:r>
              <w:t xml:space="preserve">Ongoing</w:t>
            </w:r>
          </w:p>
        </w:tc>
        <w:tc>
          <w:tcPr/>
          <w:p>
            <w:pPr>
              <w:pStyle w:val="Compact"/>
              <w:jc w:val="left"/>
            </w:pPr>
            <w:r>
              <w:t xml:space="preserve">🔄 Active</w:t>
            </w:r>
          </w:p>
        </w:tc>
        <w:tc>
          <w:tcPr/>
          <w:p>
            <w:pPr>
              <w:pStyle w:val="Compact"/>
              <w:jc w:val="left"/>
            </w:pPr>
            <w:r>
              <w:t xml:space="preserve">Monthly OSCAL AR refresh; Quarterly KSI evidence review; Annual full re-assessment; ATO renewal preparation</w:t>
            </w:r>
          </w:p>
        </w:tc>
      </w:tr>
    </w:tbl>
    <w:p>
      <w:r>
        <w:pict>
          <v:rect style="width:0;height:1.5pt" o:hralign="center" o:hrstd="t" o:hr="t"/>
        </w:pict>
      </w:r>
    </w:p>
    <w:bookmarkEnd w:id="75"/>
    <w:bookmarkStart w:id="76" w:name="technology-recommendations-by-gap"/>
    <w:p>
      <w:pPr>
        <w:pStyle w:val="Heading2"/>
      </w:pPr>
      <w:r>
        <w:t xml:space="preserve">Technology Recommendations by Gap</w:t>
      </w:r>
    </w:p>
    <w:p>
      <w:pPr>
        <w:pStyle w:val="TableCaption"/>
      </w:pPr>
      <w:r>
        <w:t xml:space="preserve">Technology Recommendations by Gap Area {.striped .hover}</w:t>
      </w:r>
    </w:p>
    <w:tbl>
      <w:tblPr>
        <w:tblStyle w:val="Table"/>
        <w:tblW w:type="pct" w:w="5000"/>
        <w:tblLook w:firstRow="1" w:lastRow="0" w:firstColumn="0" w:lastColumn="0" w:noHBand="0" w:noVBand="0" w:val="0020"/>
        <w:jc w:val="start"/>
        <w:tblCaption w:val="Technology Recommendations by Gap Area {.striped .hover}"/>
      </w:tblPr>
      <w:tblGrid>
        <w:gridCol w:w="1800"/>
        <w:gridCol w:w="6120"/>
      </w:tblGrid>
      <w:tr>
        <w:trPr>
          <w:tblHeader w:val="true"/>
        </w:trPr>
        <w:tc>
          <w:tcPr/>
          <w:p>
            <w:pPr>
              <w:pStyle w:val="Compact"/>
              <w:jc w:val="left"/>
            </w:pPr>
            <w:r>
              <w:t xml:space="preserve">Gap Area</w:t>
            </w:r>
          </w:p>
        </w:tc>
        <w:tc>
          <w:tcPr/>
          <w:p>
            <w:pPr>
              <w:pStyle w:val="Compact"/>
              <w:jc w:val="left"/>
            </w:pPr>
            <w:r>
              <w:t xml:space="preserve">Recommended Technology / Approach</w:t>
            </w:r>
          </w:p>
        </w:tc>
      </w:tr>
      <w:tr>
        <w:tc>
          <w:tcPr/>
          <w:p>
            <w:pPr>
              <w:pStyle w:val="Compact"/>
              <w:jc w:val="left"/>
            </w:pPr>
            <w:r>
              <w:t xml:space="preserve">SBOM generation</w:t>
            </w:r>
          </w:p>
        </w:tc>
        <w:tc>
          <w:tcPr/>
          <w:p>
            <w:pPr>
              <w:pStyle w:val="Compact"/>
              <w:jc w:val="left"/>
            </w:pPr>
            <w:r>
              <w:t xml:space="preserve">Syft (Anchore) or Trivy — integrated into CI/CD pipeline</w:t>
            </w:r>
          </w:p>
        </w:tc>
      </w:tr>
      <w:tr>
        <w:tc>
          <w:tcPr/>
          <w:p>
            <w:pPr>
              <w:pStyle w:val="Compact"/>
              <w:jc w:val="left"/>
            </w:pPr>
            <w:r>
              <w:t xml:space="preserve">VDR format</w:t>
            </w:r>
          </w:p>
        </w:tc>
        <w:tc>
          <w:tcPr/>
          <w:p>
            <w:pPr>
              <w:pStyle w:val="Compact"/>
              <w:jc w:val="left"/>
            </w:pPr>
            <w:r>
              <w:t xml:space="preserve">CycloneDX 1.6 (XML or JSON) — CISA-preferred</w:t>
            </w:r>
          </w:p>
        </w:tc>
      </w:tr>
      <w:tr>
        <w:tc>
          <w:tcPr/>
          <w:p>
            <w:pPr>
              <w:pStyle w:val="Compact"/>
              <w:jc w:val="left"/>
            </w:pPr>
            <w:r>
              <w:t xml:space="preserve">VER submission</w:t>
            </w:r>
          </w:p>
        </w:tc>
        <w:tc>
          <w:tcPr/>
          <w:p>
            <w:pPr>
              <w:pStyle w:val="Compact"/>
              <w:jc w:val="left"/>
            </w:pPr>
            <w:r>
              <w:t xml:space="preserve">CISA VEX Portal or email per BOD 26-04 guidance</w:t>
            </w:r>
          </w:p>
        </w:tc>
      </w:tr>
      <w:tr>
        <w:tc>
          <w:tcPr/>
          <w:p>
            <w:pPr>
              <w:pStyle w:val="Compact"/>
              <w:jc w:val="left"/>
            </w:pPr>
            <w:r>
              <w:t xml:space="preserve">OSCAL AP/AR</w:t>
            </w:r>
          </w:p>
        </w:tc>
        <w:tc>
          <w:tcPr/>
          <w:p>
            <w:pPr>
              <w:pStyle w:val="Compact"/>
              <w:jc w:val="left"/>
            </w:pPr>
            <w:r>
              <w:rPr>
                <w:rStyle w:val="VerbatimChar"/>
              </w:rPr>
              <w:t xml:space="preserve">trestle</w:t>
            </w:r>
            <w:r>
              <w:t xml:space="preserve"> </w:t>
            </w:r>
            <w:r>
              <w:t xml:space="preserve">(IBM) or custom Python emitter against OSCAL 1.1 schema</w:t>
            </w:r>
          </w:p>
        </w:tc>
      </w:tr>
      <w:tr>
        <w:tc>
          <w:tcPr/>
          <w:p>
            <w:pPr>
              <w:pStyle w:val="Compact"/>
              <w:jc w:val="left"/>
            </w:pPr>
            <w:r>
              <w:t xml:space="preserve">PII mapping</w:t>
            </w:r>
          </w:p>
        </w:tc>
        <w:tc>
          <w:tcPr/>
          <w:p>
            <w:pPr>
              <w:pStyle w:val="Compact"/>
              <w:jc w:val="left"/>
            </w:pPr>
            <w:r>
              <w:t xml:space="preserve">Purview Data Map + sensitivity label lineage (extends Part 12)</w:t>
            </w:r>
          </w:p>
        </w:tc>
      </w:tr>
      <w:tr>
        <w:tc>
          <w:tcPr/>
          <w:p>
            <w:pPr>
              <w:pStyle w:val="Compact"/>
              <w:jc w:val="left"/>
            </w:pPr>
            <w:r>
              <w:t xml:space="preserve">PM metrics</w:t>
            </w:r>
          </w:p>
        </w:tc>
        <w:tc>
          <w:tcPr/>
          <w:p>
            <w:pPr>
              <w:pStyle w:val="Compact"/>
              <w:jc w:val="left"/>
            </w:pPr>
            <w:r>
              <w:t xml:space="preserve">Sentinel workbook for AU/CA/PM KPI dashboard (extends Part 13)</w:t>
            </w:r>
          </w:p>
        </w:tc>
      </w:tr>
    </w:tbl>
    <w:p>
      <w:r>
        <w:pict>
          <v:rect style="width:0;height:1.5pt" o:hralign="center" o:hrstd="t" o:hr="t"/>
        </w:pict>
      </w:r>
    </w:p>
    <w:bookmarkEnd w:id="76"/>
    <w:bookmarkEnd w:id="77"/>
    <w:bookmarkStart w:id="97" w:name="document-references"/>
    <w:p>
      <w:pPr>
        <w:pStyle w:val="Heading1"/>
      </w:pPr>
      <w:r>
        <w:t xml:space="preserve">Document References</w:t>
      </w:r>
    </w:p>
    <w:p>
      <w:pPr>
        <w:pStyle w:val="TableCaption"/>
      </w:pPr>
      <w:r>
        <w:t xml:space="preserve">Reference Documents {.striped .hover}</w:t>
      </w:r>
    </w:p>
    <w:tbl>
      <w:tblPr>
        <w:tblStyle w:val="Table"/>
        <w:tblW w:type="pct" w:w="5000"/>
        <w:tblLook w:firstRow="1" w:lastRow="0" w:firstColumn="0" w:lastColumn="0" w:noHBand="0" w:noVBand="0" w:val="0020"/>
        <w:jc w:val="start"/>
        <w:tblCaption w:val="Reference Documents {.striped .hover}"/>
      </w:tblPr>
      <w:tblGrid>
        <w:gridCol w:w="3960"/>
        <w:gridCol w:w="3960"/>
      </w:tblGrid>
      <w:tr>
        <w:trPr>
          <w:tblHeader w:val="true"/>
        </w:trPr>
        <w:tc>
          <w:tcPr/>
          <w:p>
            <w:pPr>
              <w:pStyle w:val="Compact"/>
              <w:jc w:val="left"/>
            </w:pPr>
            <w:r>
              <w:t xml:space="preserve">Document</w:t>
            </w:r>
          </w:p>
        </w:tc>
        <w:tc>
          <w:tcPr/>
          <w:p>
            <w:pPr>
              <w:pStyle w:val="Compact"/>
              <w:jc w:val="left"/>
            </w:pPr>
            <w:r>
              <w:t xml:space="preserve">Description</w:t>
            </w:r>
          </w:p>
        </w:tc>
      </w:tr>
      <w:tr>
        <w:tc>
          <w:tcPr/>
          <w:p>
            <w:pPr>
              <w:pStyle w:val="Compact"/>
              <w:jc w:val="left"/>
            </w:pPr>
            <w:hyperlink r:id="rId78">
              <w:r>
                <w:rPr>
                  <w:rStyle w:val="Hyperlink"/>
                </w:rPr>
                <w:t xml:space="preserve">Book 01 — Federal Agency Cloud Landing Zone</w:t>
              </w:r>
            </w:hyperlink>
          </w:p>
        </w:tc>
        <w:tc>
          <w:tcPr/>
          <w:p>
            <w:pPr>
              <w:pStyle w:val="Compact"/>
              <w:jc w:val="left"/>
            </w:pPr>
            <w:r>
              <w:t xml:space="preserve">Part 1: InfoBlox DDI, four-environment landing zone, NIST control mapping, FedRAMP 20x KSI evidence</w:t>
            </w:r>
          </w:p>
        </w:tc>
      </w:tr>
      <w:tr>
        <w:tc>
          <w:tcPr/>
          <w:p>
            <w:pPr>
              <w:pStyle w:val="Compact"/>
              <w:jc w:val="left"/>
            </w:pPr>
            <w:hyperlink r:id="rId79">
              <w:r>
                <w:rPr>
                  <w:rStyle w:val="Hyperlink"/>
                </w:rPr>
                <w:t xml:space="preserve">Book 02 — Network Access Control: 802.1X and Device Identity</w:t>
              </w:r>
            </w:hyperlink>
          </w:p>
        </w:tc>
        <w:tc>
          <w:tcPr/>
          <w:p>
            <w:pPr>
              <w:pStyle w:val="Compact"/>
              <w:jc w:val="left"/>
            </w:pPr>
            <w:r>
              <w:t xml:space="preserve">Part 2: 802.1X EAP-TLS, RADIUS/NPS + CoA, Intune SCEP certificate pipeline, NAC policy tiers, DHCP fingerprinting, Voice VLAN precedent, IA-3/CM-8 necessity closures</w:t>
            </w:r>
          </w:p>
        </w:tc>
      </w:tr>
      <w:tr>
        <w:tc>
          <w:tcPr/>
          <w:p>
            <w:pPr>
              <w:pStyle w:val="Compact"/>
              <w:jc w:val="left"/>
            </w:pPr>
            <w:hyperlink r:id="rId80">
              <w:r>
                <w:rPr>
                  <w:rStyle w:val="Hyperlink"/>
                </w:rPr>
                <w:t xml:space="preserve">Book 03 — Certificates &amp; Tokens: Cryptographic Identity</w:t>
              </w:r>
            </w:hyperlink>
          </w:p>
        </w:tc>
        <w:tc>
          <w:tcPr/>
          <w:p>
            <w:pPr>
              <w:pStyle w:val="Compact"/>
              <w:jc w:val="left"/>
            </w:pPr>
            <w:r>
              <w:t xml:space="preserve">Part 3: PKI as a naming-plane function, ACME lifecycle automation, OAuth 2.0/OIDC and CBA, phishing-resistant MFA, workload identity, IA-5(2)/SC-12/SC-17 closure</w:t>
            </w:r>
          </w:p>
        </w:tc>
      </w:tr>
      <w:tr>
        <w:tc>
          <w:tcPr/>
          <w:p>
            <w:pPr>
              <w:pStyle w:val="Compact"/>
              <w:jc w:val="left"/>
            </w:pPr>
            <w:hyperlink r:id="rId81">
              <w:r>
                <w:rPr>
                  <w:rStyle w:val="Hyperlink"/>
                </w:rPr>
                <w:t xml:space="preserve">Book 04 — HRIT and the Identity &amp; Organizational SSOT</w:t>
              </w:r>
            </w:hyperlink>
          </w:p>
        </w:tc>
        <w:tc>
          <w:tcPr/>
          <w:p>
            <w:pPr>
              <w:pStyle w:val="Compact"/>
              <w:jc w:val="left"/>
            </w:pPr>
            <w:r>
              <w:t xml:space="preserve">Part 4: HR system of record (Oracle HCM Cloud), joiner/mover/leaver lifecycle, HR-driven inbound provisioning per Spec2-D3.1 (UIAO_136), org hierarchy as queryable SSOT, AC-2/PS-4/PS-5/IA-4 closure</w:t>
            </w:r>
          </w:p>
        </w:tc>
      </w:tr>
      <w:tr>
        <w:tc>
          <w:tcPr/>
          <w:p>
            <w:pPr>
              <w:pStyle w:val="Compact"/>
              <w:jc w:val="left"/>
            </w:pPr>
            <w:hyperlink r:id="rId82">
              <w:r>
                <w:rPr>
                  <w:rStyle w:val="Hyperlink"/>
                </w:rPr>
                <w:t xml:space="preserve">Book 05 — From Mainframe to Application-Aware Modernization</w:t>
              </w:r>
            </w:hyperlink>
          </w:p>
        </w:tc>
        <w:tc>
          <w:tcPr/>
          <w:p>
            <w:pPr>
              <w:pStyle w:val="Compact"/>
              <w:jc w:val="left"/>
            </w:pPr>
            <w:r>
              <w:t xml:space="preserve">Part 5: From mainframe to application-aware — the four principles, AD-to-Entra and ZTNA identity modernization, Kerberos on multipath, load-balancer dissolution</w:t>
            </w:r>
          </w:p>
        </w:tc>
      </w:tr>
      <w:tr>
        <w:tc>
          <w:tcPr/>
          <w:p>
            <w:pPr>
              <w:pStyle w:val="Compact"/>
              <w:jc w:val="left"/>
            </w:pPr>
            <w:hyperlink r:id="rId83">
              <w:r>
                <w:rPr>
                  <w:rStyle w:val="Hyperlink"/>
                </w:rPr>
                <w:t xml:space="preserve">Book 06 — Federal Telecommunications Modernization</w:t>
              </w:r>
            </w:hyperlink>
          </w:p>
        </w:tc>
        <w:tc>
          <w:tcPr/>
          <w:p>
            <w:pPr>
              <w:pStyle w:val="Compact"/>
              <w:jc w:val="left"/>
            </w:pPr>
            <w:r>
              <w:t xml:space="preserve">Part 6: Amazon Connect N8NN, Teams Phone, SD-WAN/SASE, G.114 compliance, TIC 3.0 lawful local breakout, DIA vs. SASE distinction</w:t>
            </w:r>
          </w:p>
        </w:tc>
      </w:tr>
      <w:tr>
        <w:tc>
          <w:tcPr/>
          <w:p>
            <w:pPr>
              <w:pStyle w:val="Compact"/>
              <w:jc w:val="left"/>
            </w:pPr>
            <w:hyperlink r:id="rId84">
              <w:r>
                <w:rPr>
                  <w:rStyle w:val="Hyperlink"/>
                </w:rPr>
                <w:t xml:space="preserve">Book 07 — SQL Server Authentication Modernization</w:t>
              </w:r>
            </w:hyperlink>
          </w:p>
        </w:tc>
        <w:tc>
          <w:tcPr/>
          <w:p>
            <w:pPr>
              <w:pStyle w:val="Compact"/>
              <w:jc w:val="left"/>
            </w:pPr>
            <w:r>
              <w:t xml:space="preserve">Part 7: Arc Managed Identity, Kerberos/NTLM breakdown, login migration, application chain, NIST closure</w:t>
            </w:r>
          </w:p>
        </w:tc>
      </w:tr>
      <w:tr>
        <w:tc>
          <w:tcPr/>
          <w:p>
            <w:pPr>
              <w:pStyle w:val="Compact"/>
              <w:jc w:val="left"/>
            </w:pPr>
            <w:hyperlink r:id="rId85">
              <w:r>
                <w:rPr>
                  <w:rStyle w:val="Hyperlink"/>
                </w:rPr>
                <w:t xml:space="preserve">Book 08 — SQL Server Implementation Guide</w:t>
              </w:r>
            </w:hyperlink>
          </w:p>
        </w:tc>
        <w:tc>
          <w:tcPr/>
          <w:p>
            <w:pPr>
              <w:pStyle w:val="Compact"/>
              <w:jc w:val="left"/>
            </w:pPr>
            <w:r>
              <w:t xml:space="preserve">Part 8: 10-book runbook — estate discovery, Arc deployment, login migration, NTLM elimination, monitoring</w:t>
            </w:r>
          </w:p>
        </w:tc>
      </w:tr>
      <w:tr>
        <w:tc>
          <w:tcPr/>
          <w:p>
            <w:pPr>
              <w:pStyle w:val="Compact"/>
              <w:jc w:val="left"/>
            </w:pPr>
            <w:hyperlink r:id="rId86">
              <w:r>
                <w:rPr>
                  <w:rStyle w:val="Hyperlink"/>
                </w:rPr>
                <w:t xml:space="preserve">Book 09 — Database Consolidation and Network Physics</w:t>
              </w:r>
            </w:hyperlink>
          </w:p>
        </w:tc>
        <w:tc>
          <w:tcPr/>
          <w:p>
            <w:pPr>
              <w:pStyle w:val="Compact"/>
              <w:jc w:val="left"/>
            </w:pPr>
            <w:r>
              <w:t xml:space="preserve">Part 9: SSOT architecture, speed-of-light floor, SD-WAN for database traffic, consistency class alignment</w:t>
            </w:r>
          </w:p>
        </w:tc>
      </w:tr>
      <w:tr>
        <w:tc>
          <w:tcPr/>
          <w:p>
            <w:pPr>
              <w:pStyle w:val="Compact"/>
              <w:jc w:val="left"/>
            </w:pPr>
            <w:hyperlink r:id="rId87">
              <w:r>
                <w:rPr>
                  <w:rStyle w:val="Hyperlink"/>
                </w:rPr>
                <w:t xml:space="preserve">Book 10 — Privileged Access Management</w:t>
              </w:r>
            </w:hyperlink>
          </w:p>
        </w:tc>
        <w:tc>
          <w:tcPr/>
          <w:p>
            <w:pPr>
              <w:pStyle w:val="Compact"/>
              <w:jc w:val="left"/>
            </w:pPr>
            <w:r>
              <w:t xml:space="preserve">Part 10: Entra PIM JIT activation, PAW architecture, AC-5/AC-6 least privilege, IA-11 re-authentication</w:t>
            </w:r>
          </w:p>
        </w:tc>
      </w:tr>
      <w:tr>
        <w:tc>
          <w:tcPr/>
          <w:p>
            <w:pPr>
              <w:pStyle w:val="Compact"/>
              <w:jc w:val="left"/>
            </w:pPr>
            <w:hyperlink r:id="rId88">
              <w:r>
                <w:rPr>
                  <w:rStyle w:val="Hyperlink"/>
                </w:rPr>
                <w:t xml:space="preserve">Book 11 — Vulnerability Management</w:t>
              </w:r>
            </w:hyperlink>
          </w:p>
        </w:tc>
        <w:tc>
          <w:tcPr/>
          <w:p>
            <w:pPr>
              <w:pStyle w:val="Compact"/>
              <w:jc w:val="left"/>
            </w:pPr>
            <w:r>
              <w:t xml:space="preserve">Part 11: Defender VM, CISA KEV integration, RA-5 continuous scanning, SI-2 flaw remediation</w:t>
            </w:r>
          </w:p>
        </w:tc>
      </w:tr>
      <w:tr>
        <w:tc>
          <w:tcPr/>
          <w:p>
            <w:pPr>
              <w:pStyle w:val="Compact"/>
              <w:jc w:val="left"/>
            </w:pPr>
            <w:hyperlink r:id="rId89">
              <w:r>
                <w:rPr>
                  <w:rStyle w:val="Hyperlink"/>
                </w:rPr>
                <w:t xml:space="preserve">Book 12 — Data Protection (Purview + Key Vault CMK)</w:t>
              </w:r>
            </w:hyperlink>
          </w:p>
        </w:tc>
        <w:tc>
          <w:tcPr/>
          <w:p>
            <w:pPr>
              <w:pStyle w:val="Compact"/>
              <w:jc w:val="left"/>
            </w:pPr>
            <w:r>
              <w:t xml:space="preserve">Part 12: Purview DLP and sensitivity labels, Key Vault CMK, MP-2–5, SC-12/13/17/28, AU-10</w:t>
            </w:r>
          </w:p>
        </w:tc>
      </w:tr>
      <w:tr>
        <w:tc>
          <w:tcPr/>
          <w:p>
            <w:pPr>
              <w:pStyle w:val="Compact"/>
              <w:jc w:val="left"/>
            </w:pPr>
            <w:hyperlink r:id="rId90">
              <w:r>
                <w:rPr>
                  <w:rStyle w:val="Hyperlink"/>
                </w:rPr>
                <w:t xml:space="preserve">Book 13 — SIEM / XDR / Detection Engineering</w:t>
              </w:r>
            </w:hyperlink>
          </w:p>
        </w:tc>
        <w:tc>
          <w:tcPr/>
          <w:p>
            <w:pPr>
              <w:pStyle w:val="Compact"/>
              <w:jc w:val="left"/>
            </w:pPr>
            <w:r>
              <w:t xml:space="preserve">Part 13: Microsoft Sentinel, Defender XDR, KQL analytics, SOAR playbooks, SI-4/AU-6/IR-4/6/8</w:t>
            </w:r>
          </w:p>
        </w:tc>
      </w:tr>
      <w:tr>
        <w:tc>
          <w:tcPr/>
          <w:p>
            <w:pPr>
              <w:pStyle w:val="Compact"/>
              <w:jc w:val="left"/>
            </w:pPr>
            <w:hyperlink r:id="rId91">
              <w:r>
                <w:rPr>
                  <w:rStyle w:val="Hyperlink"/>
                </w:rPr>
                <w:t xml:space="preserve">Book 14 — Business Continuity</w:t>
              </w:r>
            </w:hyperlink>
          </w:p>
        </w:tc>
        <w:tc>
          <w:tcPr/>
          <w:p>
            <w:pPr>
              <w:pStyle w:val="Compact"/>
              <w:jc w:val="left"/>
            </w:pPr>
            <w:r>
              <w:t xml:space="preserve">Part 14: CP-2 through CP-8 contingency planning, DR runbooks, Azure Site Recovery</w:t>
            </w:r>
          </w:p>
        </w:tc>
      </w:tr>
      <w:tr>
        <w:tc>
          <w:tcPr/>
          <w:p>
            <w:pPr>
              <w:pStyle w:val="Compact"/>
              <w:jc w:val="left"/>
            </w:pPr>
            <w:hyperlink r:id="rId92">
              <w:r>
                <w:rPr>
                  <w:rStyle w:val="Hyperlink"/>
                </w:rPr>
                <w:t xml:space="preserve">Book 15 — Supply Chain Risk Management</w:t>
              </w:r>
            </w:hyperlink>
          </w:p>
        </w:tc>
        <w:tc>
          <w:tcPr/>
          <w:p>
            <w:pPr>
              <w:pStyle w:val="Compact"/>
              <w:jc w:val="left"/>
            </w:pPr>
            <w:r>
              <w:t xml:space="preserve">Part 15: Syft CycloneDX SBOM pipeline, Grype VDR/VEX, GitHub Actions BOD 26-04 gate, SR-family closure</w:t>
            </w:r>
          </w:p>
        </w:tc>
      </w:tr>
      <w:tr>
        <w:tc>
          <w:tcPr/>
          <w:p>
            <w:pPr>
              <w:pStyle w:val="Compact"/>
              <w:jc w:val="left"/>
            </w:pPr>
            <w:hyperlink r:id="rId93">
              <w:r>
                <w:rPr>
                  <w:rStyle w:val="Hyperlink"/>
                </w:rPr>
                <w:t xml:space="preserve">Book 16 — Program Management and Governance</w:t>
              </w:r>
            </w:hyperlink>
          </w:p>
        </w:tc>
        <w:tc>
          <w:tcPr/>
          <w:p>
            <w:pPr>
              <w:pStyle w:val="Compact"/>
              <w:jc w:val="left"/>
            </w:pPr>
            <w:r>
              <w:t xml:space="preserve">Part 16: ISPP template, POA&amp;M tracker, SCRM Charter, Leadership RACI matrix, PM-family closure</w:t>
            </w:r>
          </w:p>
        </w:tc>
      </w:tr>
      <w:tr>
        <w:tc>
          <w:tcPr/>
          <w:p>
            <w:pPr>
              <w:pStyle w:val="Compact"/>
              <w:jc w:val="left"/>
            </w:pPr>
            <w:hyperlink r:id="rId94">
              <w:r>
                <w:rPr>
                  <w:rStyle w:val="Hyperlink"/>
                </w:rPr>
                <w:t xml:space="preserve">Book 17 — PII Processing and Transparency</w:t>
              </w:r>
            </w:hyperlink>
          </w:p>
        </w:tc>
        <w:tc>
          <w:tcPr/>
          <w:p>
            <w:pPr>
              <w:pStyle w:val="Compact"/>
              <w:jc w:val="left"/>
            </w:pPr>
            <w:r>
              <w:t xml:space="preserve">Part 17: Privacy Program Plan, authority-to-process templates, SORN/PIA scaffolding, Purview Data Map, PT-family closure</w:t>
            </w:r>
          </w:p>
        </w:tc>
      </w:tr>
      <w:tr>
        <w:tc>
          <w:tcPr/>
          <w:p>
            <w:pPr>
              <w:pStyle w:val="Compact"/>
              <w:jc w:val="left"/>
            </w:pPr>
            <w:hyperlink r:id="rId95">
              <w:r>
                <w:rPr>
                  <w:rStyle w:val="Hyperlink"/>
                </w:rPr>
                <w:t xml:space="preserve">Book 18 — Cybersecurity Awareness and Training</w:t>
              </w:r>
            </w:hyperlink>
          </w:p>
        </w:tc>
        <w:tc>
          <w:tcPr/>
          <w:p>
            <w:pPr>
              <w:pStyle w:val="Compact"/>
              <w:jc w:val="left"/>
            </w:pPr>
            <w:r>
              <w:t xml:space="preserve">Part 18: AT-2/AT-3/AT-4 training program, role-based matrices for six tiers, LMS evidence schema, CP-3 tabletop calendar, IR-2 drill documentation, KSI-022 activation</w:t>
            </w:r>
          </w:p>
        </w:tc>
      </w:tr>
      <w:tr>
        <w:tc>
          <w:tcPr/>
          <w:p>
            <w:pPr>
              <w:pStyle w:val="Compact"/>
              <w:jc w:val="left"/>
            </w:pPr>
            <w:hyperlink r:id="rId96">
              <w:r>
                <w:rPr>
                  <w:rStyle w:val="Hyperlink"/>
                </w:rPr>
                <w:t xml:space="preserve">Book 19 — Authorization Package and ConMon</w:t>
              </w:r>
            </w:hyperlink>
          </w:p>
        </w:tc>
        <w:tc>
          <w:tcPr/>
          <w:p>
            <w:pPr>
              <w:pStyle w:val="Compact"/>
              <w:jc w:val="left"/>
            </w:pPr>
            <w:r>
              <w:t xml:space="preserve">Part 19: FedRAMP 20x authorization package structure, OSCAL AP+AR+POA&amp;M bundle (29/29 self-assessed, pending 3PAO validation), CA-7 ConMon program, BOD 26-04 VDR/VER submission, AO checklist, day-of-submission procedure</w:t>
            </w:r>
          </w:p>
        </w:tc>
      </w:tr>
      <w:tr>
        <w:tc>
          <w:tcPr/>
          <w:p>
            <w:pPr>
              <w:pStyle w:val="Compact"/>
              <w:jc w:val="left"/>
            </w:pPr>
            <w:r>
              <w:t xml:space="preserve">NIST SP 800-53 Rev 5</w:t>
            </w:r>
          </w:p>
        </w:tc>
        <w:tc>
          <w:tcPr/>
          <w:p>
            <w:pPr>
              <w:pStyle w:val="Compact"/>
              <w:jc w:val="left"/>
            </w:pPr>
            <w:r>
              <w:t xml:space="preserve">Security and Privacy Controls for Information Systems and Organizations</w:t>
            </w:r>
          </w:p>
        </w:tc>
      </w:tr>
      <w:tr>
        <w:tc>
          <w:tcPr/>
          <w:p>
            <w:pPr>
              <w:pStyle w:val="Compact"/>
              <w:jc w:val="left"/>
            </w:pPr>
            <w:r>
              <w:t xml:space="preserve">NIST SP 800-207</w:t>
            </w:r>
          </w:p>
        </w:tc>
        <w:tc>
          <w:tcPr/>
          <w:p>
            <w:pPr>
              <w:pStyle w:val="Compact"/>
              <w:jc w:val="left"/>
            </w:pPr>
            <w:r>
              <w:t xml:space="preserve">Zero Trust Architecture</w:t>
            </w:r>
          </w:p>
        </w:tc>
      </w:tr>
      <w:tr>
        <w:tc>
          <w:tcPr/>
          <w:p>
            <w:pPr>
              <w:pStyle w:val="Compact"/>
              <w:jc w:val="left"/>
            </w:pPr>
            <w:r>
              <w:t xml:space="preserve">OMB M-22-09</w:t>
            </w:r>
          </w:p>
        </w:tc>
        <w:tc>
          <w:tcPr/>
          <w:p>
            <w:pPr>
              <w:pStyle w:val="Compact"/>
              <w:jc w:val="left"/>
            </w:pPr>
            <w:r>
              <w:t xml:space="preserve">Moving the U.S. Government Toward Zero Trust Cybersecurity Principles</w:t>
            </w:r>
          </w:p>
        </w:tc>
      </w:tr>
      <w:tr>
        <w:tc>
          <w:tcPr/>
          <w:p>
            <w:pPr>
              <w:pStyle w:val="Compact"/>
              <w:jc w:val="left"/>
            </w:pPr>
            <w:r>
              <w:t xml:space="preserve">FedRAMP 20x Consolidated Rules (June 25, 2026)</w:t>
            </w:r>
          </w:p>
        </w:tc>
        <w:tc>
          <w:tcPr/>
          <w:p>
            <w:pPr>
              <w:pStyle w:val="Compact"/>
              <w:jc w:val="left"/>
            </w:pPr>
            <w:r>
              <w:t xml:space="preserve">Machine-readable KSI framework; Class A opens August 3, 2026; Class B/C opens August 31, 2026</w:t>
            </w:r>
          </w:p>
        </w:tc>
      </w:tr>
      <w:tr>
        <w:tc>
          <w:tcPr/>
          <w:p>
            <w:pPr>
              <w:pStyle w:val="Compact"/>
              <w:jc w:val="left"/>
            </w:pPr>
            <w:r>
              <w:t xml:space="preserve">CISA Zero Trust Maturity Model v2.0</w:t>
            </w:r>
          </w:p>
        </w:tc>
        <w:tc>
          <w:tcPr/>
          <w:p>
            <w:pPr>
              <w:pStyle w:val="Compact"/>
              <w:jc w:val="left"/>
            </w:pPr>
            <w:r>
              <w:t xml:space="preserve">Identity, Devices, Networks, Applications, Data pillar maturity progression</w:t>
            </w:r>
          </w:p>
        </w:tc>
      </w:tr>
      <w:tr>
        <w:tc>
          <w:tcPr/>
          <w:p>
            <w:pPr>
              <w:pStyle w:val="Compact"/>
              <w:jc w:val="left"/>
            </w:pPr>
            <w:r>
              <w:t xml:space="preserve">EO 14028</w:t>
            </w:r>
          </w:p>
        </w:tc>
        <w:tc>
          <w:tcPr/>
          <w:p>
            <w:pPr>
              <w:pStyle w:val="Compact"/>
              <w:jc w:val="left"/>
            </w:pPr>
            <w:r>
              <w:t xml:space="preserve">Improving the Nation’s Cybersecurity (May 12, 2021)</w:t>
            </w:r>
          </w:p>
        </w:tc>
      </w:tr>
      <w:tr>
        <w:tc>
          <w:tcPr/>
          <w:p>
            <w:pPr>
              <w:pStyle w:val="Compact"/>
              <w:jc w:val="left"/>
            </w:pPr>
            <w:r>
              <w:t xml:space="preserve">ITU-T G.114</w:t>
            </w:r>
          </w:p>
        </w:tc>
        <w:tc>
          <w:tcPr/>
          <w:p>
            <w:pPr>
              <w:pStyle w:val="Compact"/>
              <w:jc w:val="left"/>
            </w:pPr>
            <w:r>
              <w:t xml:space="preserve">One-Way Transmission Time — 150ms maximum one-way voice delay</w:t>
            </w:r>
          </w:p>
        </w:tc>
      </w:tr>
    </w:tbl>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hyperlink" Id="rId78" Target="Book_01_FedAAN_SSA_Landing_Zone_IPAM_FedRAMP.qmd" TargetMode="External" /><Relationship Type="http://schemas.openxmlformats.org/officeDocument/2006/relationships/hyperlink" Id="rId79" Target="Book_02_FedAAN_Network_Access_Control_802_1X.qmd" TargetMode="External" /><Relationship Type="http://schemas.openxmlformats.org/officeDocument/2006/relationships/hyperlink" Id="rId80" Target="Book_03_FedAAN_Certificates_Tokens_Cryptographic_Identity.qmd" TargetMode="External" /><Relationship Type="http://schemas.openxmlformats.org/officeDocument/2006/relationships/hyperlink" Id="rId81" Target="Book_04_FedAAN_HRIT_Identity_Org_SSOT.qmd" TargetMode="External" /><Relationship Type="http://schemas.openxmlformats.org/officeDocument/2006/relationships/hyperlink" Id="rId82" Target="Book_05_FedAAN_Network_Modernization.qmd" TargetMode="External" /><Relationship Type="http://schemas.openxmlformats.org/officeDocument/2006/relationships/hyperlink" Id="rId83" Target="Book_06_FedAAN_Federal_Telecommunications_Modernization.qmd" TargetMode="External" /><Relationship Type="http://schemas.openxmlformats.org/officeDocument/2006/relationships/hyperlink" Id="rId84" Target="Book_07_FedAAN_SQL_Server_Authentication_Modernization.qmd" TargetMode="External" /><Relationship Type="http://schemas.openxmlformats.org/officeDocument/2006/relationships/hyperlink" Id="rId85" Target="Book_08_FedAAN_SQL_Server_Implementation_Guide.qmd" TargetMode="External" /><Relationship Type="http://schemas.openxmlformats.org/officeDocument/2006/relationships/hyperlink" Id="rId86" Target="Book_09_FedAAN_Database_Consolidation_Network_Physics.qmd" TargetMode="External" /><Relationship Type="http://schemas.openxmlformats.org/officeDocument/2006/relationships/hyperlink" Id="rId87" Target="Book_10_FedAAN_Privileged_Access_Management.qmd" TargetMode="External" /><Relationship Type="http://schemas.openxmlformats.org/officeDocument/2006/relationships/hyperlink" Id="rId88" Target="Book_11_FedAAN_Vulnerability_Management.qmd" TargetMode="External" /><Relationship Type="http://schemas.openxmlformats.org/officeDocument/2006/relationships/hyperlink" Id="rId89" Target="Book_12_FedAAN_Data_Protection_Purview.qmd" TargetMode="External" /><Relationship Type="http://schemas.openxmlformats.org/officeDocument/2006/relationships/hyperlink" Id="rId90" Target="Book_13_FedAAN_SIEM_XDR_Detection.qmd" TargetMode="External" /><Relationship Type="http://schemas.openxmlformats.org/officeDocument/2006/relationships/hyperlink" Id="rId91" Target="Book_14_FedAAN_Business_Continuity.qmd" TargetMode="External" /><Relationship Type="http://schemas.openxmlformats.org/officeDocument/2006/relationships/hyperlink" Id="rId92" Target="Book_15_FedAAN_Supply_Chain_Risk_Management.qmd" TargetMode="External" /><Relationship Type="http://schemas.openxmlformats.org/officeDocument/2006/relationships/hyperlink" Id="rId93" Target="Book_16_FedAAN_Program_Management_Governance.qmd" TargetMode="External" /><Relationship Type="http://schemas.openxmlformats.org/officeDocument/2006/relationships/hyperlink" Id="rId94" Target="Book_17_FedAAN_PII_Processing_Transparency.qmd" TargetMode="External" /><Relationship Type="http://schemas.openxmlformats.org/officeDocument/2006/relationships/hyperlink" Id="rId95" Target="Book_18_FedAAN_Cybersecurity_Training_Awareness.qmd" TargetMode="External" /><Relationship Type="http://schemas.openxmlformats.org/officeDocument/2006/relationships/hyperlink" Id="rId96"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78" Target="Book_01_FedAAN_SSA_Landing_Zone_IPAM_FedRAMP.qmd" TargetMode="External" /><Relationship Type="http://schemas.openxmlformats.org/officeDocument/2006/relationships/hyperlink" Id="rId79" Target="Book_02_FedAAN_Network_Access_Control_802_1X.qmd" TargetMode="External" /><Relationship Type="http://schemas.openxmlformats.org/officeDocument/2006/relationships/hyperlink" Id="rId80" Target="Book_03_FedAAN_Certificates_Tokens_Cryptographic_Identity.qmd" TargetMode="External" /><Relationship Type="http://schemas.openxmlformats.org/officeDocument/2006/relationships/hyperlink" Id="rId81" Target="Book_04_FedAAN_HRIT_Identity_Org_SSOT.qmd" TargetMode="External" /><Relationship Type="http://schemas.openxmlformats.org/officeDocument/2006/relationships/hyperlink" Id="rId82" Target="Book_05_FedAAN_Network_Modernization.qmd" TargetMode="External" /><Relationship Type="http://schemas.openxmlformats.org/officeDocument/2006/relationships/hyperlink" Id="rId83" Target="Book_06_FedAAN_Federal_Telecommunications_Modernization.qmd" TargetMode="External" /><Relationship Type="http://schemas.openxmlformats.org/officeDocument/2006/relationships/hyperlink" Id="rId84" Target="Book_07_FedAAN_SQL_Server_Authentication_Modernization.qmd" TargetMode="External" /><Relationship Type="http://schemas.openxmlformats.org/officeDocument/2006/relationships/hyperlink" Id="rId85" Target="Book_08_FedAAN_SQL_Server_Implementation_Guide.qmd" TargetMode="External" /><Relationship Type="http://schemas.openxmlformats.org/officeDocument/2006/relationships/hyperlink" Id="rId86" Target="Book_09_FedAAN_Database_Consolidation_Network_Physics.qmd" TargetMode="External" /><Relationship Type="http://schemas.openxmlformats.org/officeDocument/2006/relationships/hyperlink" Id="rId87" Target="Book_10_FedAAN_Privileged_Access_Management.qmd" TargetMode="External" /><Relationship Type="http://schemas.openxmlformats.org/officeDocument/2006/relationships/hyperlink" Id="rId88" Target="Book_11_FedAAN_Vulnerability_Management.qmd" TargetMode="External" /><Relationship Type="http://schemas.openxmlformats.org/officeDocument/2006/relationships/hyperlink" Id="rId89" Target="Book_12_FedAAN_Data_Protection_Purview.qmd" TargetMode="External" /><Relationship Type="http://schemas.openxmlformats.org/officeDocument/2006/relationships/hyperlink" Id="rId90" Target="Book_13_FedAAN_SIEM_XDR_Detection.qmd" TargetMode="External" /><Relationship Type="http://schemas.openxmlformats.org/officeDocument/2006/relationships/hyperlink" Id="rId91" Target="Book_14_FedAAN_Business_Continuity.qmd" TargetMode="External" /><Relationship Type="http://schemas.openxmlformats.org/officeDocument/2006/relationships/hyperlink" Id="rId92" Target="Book_15_FedAAN_Supply_Chain_Risk_Management.qmd" TargetMode="External" /><Relationship Type="http://schemas.openxmlformats.org/officeDocument/2006/relationships/hyperlink" Id="rId93" Target="Book_16_FedAAN_Program_Management_Governance.qmd" TargetMode="External" /><Relationship Type="http://schemas.openxmlformats.org/officeDocument/2006/relationships/hyperlink" Id="rId94" Target="Book_17_FedAAN_PII_Processing_Transparency.qmd" TargetMode="External" /><Relationship Type="http://schemas.openxmlformats.org/officeDocument/2006/relationships/hyperlink" Id="rId95" Target="Book_18_FedAAN_Cybersecurity_Training_Awareness.qmd" TargetMode="External" /><Relationship Type="http://schemas.openxmlformats.org/officeDocument/2006/relationships/hyperlink" Id="rId96"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2026-07-06T12:00:35Z</dcterms:created>
  <dcterms:modified xsi:type="dcterms:W3CDTF">2026-07-06T12:00:35Z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Executive Summary — NIST SP 800-53 Rev 5 Control Closure Across Nineteen Parts</vt:lpwstr>
  </property>
</Properties>
</file>