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Override PartName="/word/media/rId20.png" ContentType="image/png"/>
  <Override PartName="/word/media/rId2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09 — Federal Application-Aware Networking: Database Consolidation and Network Physics</w:t>
      </w:r>
    </w:p>
    <w:p>
      <w:pPr>
        <w:pStyle w:val="Subtitle"/>
      </w:pPr>
      <w:r>
        <w:t xml:space="preserve">SSOT Architecture, Propagation Delay, SD-WAN Traffic Classification, and Token-Based Security for Federal Database Infrastructure</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9 of the Federal Application-Aware Networking series. Parts 1–8 address network and identity infrastructure (IPAM/DDI/PKI, network access control, certificates and tokens,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p/>
        </w:tc>
      </w:tr>
    </w:tbl>
    <w:bookmarkStart w:id="12" w:name="the-consolidation-premise"/>
    <w:p>
      <w:pPr>
        <w:pStyle w:val="Heading1"/>
      </w:pPr>
      <w:r>
        <w:t xml:space="preserve">1. The Consolidation Premise</w:t>
      </w:r>
    </w:p>
    <w:p>
      <w:pPr>
        <w:pStyle w:val="FirstParagraph"/>
      </w:pPr>
      <w:r>
        <w:t xml:space="preserve">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pPr>
        <w:pStyle w:val="BodyText"/>
      </w:pPr>
      <w:r>
        <w:t xml:space="preserve">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 is unmapped.</w:t>
      </w:r>
    </w:p>
    <w:p>
      <w:pPr>
        <w:pStyle w:val="BodyText"/>
      </w:pPr>
      <w:r>
        <w:t xml:space="preserve">The consolidation program is the correction. But consolidation is not simply moving databases to fewer servers. It requires a principled distinction between two kinds of centralization that are frequently confused.</w:t>
      </w:r>
    </w:p>
    <w:bookmarkEnd w:id="12"/>
    <w:bookmarkStart w:id="19" w:name="logical-vs.-physical-centralization"/>
    <w:p>
      <w:pPr>
        <w:pStyle w:val="Heading1"/>
      </w:pPr>
      <w:r>
        <w:t xml:space="preserve">2. Logical vs. Physical Centralization</w:t>
      </w:r>
    </w:p>
    <w:p>
      <w:pPr>
        <w:pStyle w:val="FirstParagraph"/>
      </w:pPr>
      <w:r>
        <w:t xml:space="preserve">The most important architectural distinction in federal database consolidation is between</w:t>
      </w:r>
      <w:r>
        <w:t xml:space="preserve"> </w:t>
      </w:r>
      <w:r>
        <w:rPr>
          <w:b/>
          <w:bCs/>
        </w:rPr>
        <w:t xml:space="preserve">logical centralization</w:t>
      </w:r>
      <w:r>
        <w:t xml:space="preserve"> </w:t>
      </w:r>
      <w:r>
        <w:t xml:space="preserve">and</w:t>
      </w:r>
      <w:r>
        <w:t xml:space="preserve"> </w:t>
      </w:r>
      <w:r>
        <w:rPr>
          <w:b/>
          <w:bCs/>
        </w:rPr>
        <w:t xml:space="preserve">physical centralization</w:t>
      </w:r>
      <w:r>
        <w:t xml:space="preserve">. These are not the same thing and conflating them produces either unnecessary cost or unnecessary fragmentation.</w:t>
      </w:r>
    </w:p>
    <w:tbl>
      <w:tblPr>
        <w:tblStyle w:val="Table"/>
        <w:tblW w:type="pct" w:w="5000"/>
        <w:tblLayout w:type="fixed"/>
        <w:tblLook w:firstRow="0" w:lastRow="0" w:firstColumn="0" w:lastColumn="0" w:noHBand="0" w:noVBand="0" w:val="0000"/>
      </w:tblPr>
      <w:tblGrid>
        <w:gridCol w:w="7920"/>
      </w:tblGrid>
      <w:tr>
        <w:tc>
          <w:tcPr/>
          <w:bookmarkStart w:id="16" w:name="fig-db01"/>
          <w:p>
            <w:pPr>
              <w:pStyle w:val="Compact"/>
              <w:jc w:val="center"/>
            </w:pPr>
            <w:r>
              <w:drawing>
                <wp:inline>
                  <wp:extent cx="5334000" cy="1733550"/>
                  <wp:effectExtent b="0" l="0" r="0" t="0"/>
                  <wp:docPr descr="" title="" id="14" name="Picture"/>
                  <a:graphic>
                    <a:graphicData uri="http://schemas.openxmlformats.org/drawingml/2006/picture">
                      <pic:pic>
                        <pic:nvPicPr>
                          <pic:cNvPr descr="figs/db-fig-01-logical-vs-physical.png" id="15" name="Picture"/>
                          <pic:cNvPicPr>
                            <a:picLocks noChangeArrowheads="1" noChangeAspect="1"/>
                          </pic:cNvPicPr>
                        </pic:nvPicPr>
                        <pic:blipFill>
                          <a:blip r:embed="rId13"/>
                          <a:stretch>
                            <a:fillRect/>
                          </a:stretch>
                        </pic:blipFill>
                        <pic:spPr bwMode="auto">
                          <a:xfrm>
                            <a:off x="0" y="0"/>
                            <a:ext cx="5334000" cy="17335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Logical centralization (one truth) is almost always the right choice. Physical centralization (one server) is sometimes constrained by network physics and organizational boundaries.</w:t>
            </w:r>
          </w:p>
          <w:bookmarkEnd w:id="16"/>
        </w:tc>
      </w:tr>
    </w:tbl>
    <w:bookmarkStart w:id="17" w:name="logical-centralization"/>
    <w:p>
      <w:pPr>
        <w:pStyle w:val="Heading2"/>
      </w:pPr>
      <w:r>
        <w:t xml:space="preserve">2.1 Logical Centralization</w:t>
      </w:r>
    </w:p>
    <w:p>
      <w:pPr>
        <w:pStyle w:val="FirstParagraph"/>
      </w:pPr>
      <w:r>
        <w:rPr>
          <w:b/>
          <w:bCs/>
        </w:rPr>
        <w:t xml:space="preserve">Logical centralization</w:t>
      </w:r>
      <w:r>
        <w:t xml:space="preserve"> </w:t>
      </w:r>
      <w:r>
        <w:t xml:space="preserve">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pPr>
        <w:pStyle w:val="BodyText"/>
      </w:pPr>
      <w:r>
        <w:t xml:space="preserve">Logical centralization is almost always the correct goal. It:</w:t>
      </w:r>
    </w:p>
    <w:p>
      <w:pPr>
        <w:pStyle w:val="Compact"/>
        <w:numPr>
          <w:ilvl w:val="0"/>
          <w:numId w:val="1001"/>
        </w:numPr>
      </w:pPr>
      <w:r>
        <w:t xml:space="preserve">Eliminates the reconciliation jobs that consume engineering time and produce inconsistent answers</w:t>
      </w:r>
    </w:p>
    <w:p>
      <w:pPr>
        <w:pStyle w:val="Compact"/>
        <w:numPr>
          <w:ilvl w:val="0"/>
          <w:numId w:val="1001"/>
        </w:numPr>
      </w:pPr>
      <w:r>
        <w:t xml:space="preserve">Creates a clear audit trail — the canonical source has the history; projections do not need to</w:t>
      </w:r>
    </w:p>
    <w:p>
      <w:pPr>
        <w:pStyle w:val="Compact"/>
        <w:numPr>
          <w:ilvl w:val="0"/>
          <w:numId w:val="1001"/>
        </w:numPr>
      </w:pPr>
      <w:r>
        <w:t xml:space="preserve">Simplifies access control — one system enforces the authoritative access policy</w:t>
      </w:r>
    </w:p>
    <w:p>
      <w:pPr>
        <w:pStyle w:val="Compact"/>
        <w:numPr>
          <w:ilvl w:val="0"/>
          <w:numId w:val="1001"/>
        </w:numPr>
      </w:pPr>
      <w:r>
        <w:t xml:space="preserve">Enables consistent answer to</w:t>
      </w:r>
      <w:r>
        <w:t xml:space="preserve"> </w:t>
      </w:r>
      <w:r>
        <w:t xml:space="preserve">“what is the current value of X?”</w:t>
      </w:r>
      <w:r>
        <w:t xml:space="preserve"> </w:t>
      </w:r>
      <w:r>
        <w:t xml:space="preserve">— it is whatever the canonical source says</w:t>
      </w:r>
    </w:p>
    <w:p>
      <w:pPr>
        <w:pStyle w:val="FirstParagraph"/>
      </w:pPr>
      <w:r>
        <w:t xml:space="preserve">The most common source of data integrity problems in federal systems is</w:t>
      </w:r>
      <w:r>
        <w:t xml:space="preserve"> </w:t>
      </w:r>
      <w:r>
        <w:rPr>
          <w:b/>
          <w:bCs/>
        </w:rPr>
        <w:t xml:space="preserve">logical fragmentation</w:t>
      </w:r>
      <w:r>
        <w:t xml:space="preserve">: the same fact lives in three different systems, maintained by three different processes, and they disagree. HRIT says the employee is in Department A. The identity provider says Department B. The financial system says Department C. The right correction is to designate one as authoritative (or build an authoritative HR master) and make the others derive from it.</w:t>
      </w:r>
    </w:p>
    <w:bookmarkEnd w:id="17"/>
    <w:bookmarkStart w:id="18" w:name="physical-centralization"/>
    <w:p>
      <w:pPr>
        <w:pStyle w:val="Heading2"/>
      </w:pPr>
      <w:r>
        <w:t xml:space="preserve">2.2 Physical Centralization</w:t>
      </w:r>
    </w:p>
    <w:p>
      <w:pPr>
        <w:pStyle w:val="FirstParagraph"/>
      </w:pPr>
      <w:r>
        <w:rPr>
          <w:b/>
          <w:bCs/>
        </w:rPr>
        <w:t xml:space="preserve">Physical centralization</w:t>
      </w:r>
      <w:r>
        <w:t xml:space="preserve"> </w:t>
      </w:r>
      <w:r>
        <w:t xml:space="preserve">means that all data lives on one server, in one data center, in one region. Physical centralization is sometimes the right choice and sometimes physically constrained — because the speed of light is not negotiable.</w:t>
      </w:r>
    </w:p>
    <w:p>
      <w:pPr>
        <w:pStyle w:val="BodyText"/>
      </w:pPr>
      <w:r>
        <w:t xml:space="preserve">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pPr>
        <w:pStyle w:val="BodyText"/>
      </w:pPr>
      <w:r>
        <w:t xml:space="preserve">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is added.</w:t>
      </w:r>
    </w:p>
    <w:p>
      <w:pPr>
        <w:pStyle w:val="BodyText"/>
      </w:pPr>
      <w:r>
        <w:rPr>
          <w:b/>
          <w:bCs/>
        </w:rPr>
        <w:t xml:space="preserve">The architectural implication:</w:t>
      </w:r>
      <w:r>
        <w:t xml:space="preserve"> </w:t>
      </w:r>
      <w:r>
        <w:t xml:space="preserve">physically centralize within a region, replicate asynchronously across regions, and design workloads to tolerate the replication lag for cross-region reads.</w:t>
      </w:r>
    </w:p>
    <w:bookmarkEnd w:id="18"/>
    <w:bookmarkEnd w:id="19"/>
    <w:bookmarkStart w:id="27" w:name="the-speed-of-light-tax"/>
    <w:p>
      <w:pPr>
        <w:pStyle w:val="Heading1"/>
      </w:pPr>
      <w:r>
        <w:t xml:space="preserve">3. The Speed-of-Light Tax</w:t>
      </w:r>
    </w:p>
    <w:p>
      <w:pPr>
        <w:pStyle w:val="FirstParagraph"/>
      </w:pPr>
      <w:r>
        <w:t xml:space="preserve">The propagation delay floor is the most important number in distributed database architecture. It is not a software configuration parameter. It is not a network engineering problem. It is physics.</w:t>
      </w:r>
    </w:p>
    <w:tbl>
      <w:tblPr>
        <w:tblStyle w:val="Table"/>
        <w:tblW w:type="pct" w:w="5000"/>
        <w:tblLayout w:type="fixed"/>
        <w:tblLook w:firstRow="0" w:lastRow="0" w:firstColumn="0" w:lastColumn="0" w:noHBand="0" w:noVBand="0" w:val="0000"/>
      </w:tblPr>
      <w:tblGrid>
        <w:gridCol w:w="7920"/>
      </w:tblGrid>
      <w:tr>
        <w:tc>
          <w:tcPr/>
          <w:bookmarkStart w:id="23" w:name="fig-db02"/>
          <w:p>
            <w:pPr>
              <w:pStyle w:val="Compact"/>
              <w:jc w:val="center"/>
            </w:pPr>
            <w:r>
              <w:drawing>
                <wp:inline>
                  <wp:extent cx="5334000" cy="2072053"/>
                  <wp:effectExtent b="0" l="0" r="0" t="0"/>
                  <wp:docPr descr="" title="" id="21" name="Picture"/>
                  <a:graphic>
                    <a:graphicData uri="http://schemas.openxmlformats.org/drawingml/2006/picture">
                      <pic:pic>
                        <pic:nvPicPr>
                          <pic:cNvPr descr="figs/db-fig-02-speed-of-light.png" id="22" name="Picture"/>
                          <pic:cNvPicPr>
                            <a:picLocks noChangeArrowheads="1" noChangeAspect="1"/>
                          </pic:cNvPicPr>
                        </pic:nvPicPr>
                        <pic:blipFill>
                          <a:blip r:embed="rId20"/>
                          <a:stretch>
                            <a:fillRect/>
                          </a:stretch>
                        </pic:blipFill>
                        <pic:spPr bwMode="auto">
                          <a:xfrm>
                            <a:off x="0" y="0"/>
                            <a:ext cx="5334000" cy="2072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SD-WAN attacks the addressable gap between observed latency and the propagation floor. The floor itself — determined by the speed of light in fiber — is non-negotiable.</w:t>
            </w:r>
          </w:p>
          <w:bookmarkEnd w:id="23"/>
        </w:tc>
      </w:tr>
    </w:tbl>
    <w:bookmarkStart w:id="24" w:name="X0238601b852d5ad8ae9b5f2ced17d9cac6bef8e"/>
    <w:p>
      <w:pPr>
        <w:pStyle w:val="Heading2"/>
      </w:pPr>
      <w:r>
        <w:t xml:space="preserve">3.1 The Floor, the Gap, and the Addressable Portion</w:t>
      </w:r>
    </w:p>
    <w:p>
      <w:pPr>
        <w:pStyle w:val="FirstParagraph"/>
      </w:pPr>
      <w:r>
        <w:t xml:space="preserve">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Distance</w:t>
            </w:r>
          </w:p>
        </w:tc>
        <w:tc>
          <w:tcPr/>
          <w:p>
            <w:pPr>
              <w:pStyle w:val="Compact"/>
            </w:pPr>
            <w:r>
              <w:t xml:space="preserve">Physics Floor (RTT)</w:t>
            </w:r>
          </w:p>
        </w:tc>
        <w:tc>
          <w:tcPr/>
          <w:p>
            <w:pPr>
              <w:pStyle w:val="Compact"/>
            </w:pPr>
            <w:r>
              <w:t xml:space="preserve">Typical Observed RTT</w:t>
            </w:r>
          </w:p>
        </w:tc>
        <w:tc>
          <w:tcPr/>
          <w:p>
            <w:pPr>
              <w:pStyle w:val="Compact"/>
            </w:pPr>
            <w:r>
              <w:t xml:space="preserve">Addressable Gap</w:t>
            </w:r>
          </w:p>
        </w:tc>
      </w:tr>
      <w:tr>
        <w:tc>
          <w:tcPr/>
          <w:p>
            <w:pPr>
              <w:pStyle w:val="Compact"/>
            </w:pPr>
            <w:r>
              <w:t xml:space="preserve">Metro (50 km)</w:t>
            </w:r>
          </w:p>
        </w:tc>
        <w:tc>
          <w:tcPr/>
          <w:p>
            <w:pPr>
              <w:pStyle w:val="Compact"/>
            </w:pPr>
            <w:r>
              <w:t xml:space="preserve">50 km</w:t>
            </w:r>
          </w:p>
        </w:tc>
        <w:tc>
          <w:tcPr/>
          <w:p>
            <w:pPr>
              <w:pStyle w:val="Compact"/>
            </w:pPr>
            <w:r>
              <w:t xml:space="preserve">0.5 ms</w:t>
            </w:r>
          </w:p>
        </w:tc>
        <w:tc>
          <w:tcPr/>
          <w:p>
            <w:pPr>
              <w:pStyle w:val="Compact"/>
            </w:pPr>
            <w:r>
              <w:t xml:space="preserve">0.7–1 ms</w:t>
            </w:r>
          </w:p>
        </w:tc>
        <w:tc>
          <w:tcPr/>
          <w:p>
            <w:pPr>
              <w:pStyle w:val="Compact"/>
            </w:pPr>
            <w:r>
              <w:t xml:space="preserve">0.2–0.5 ms</w:t>
            </w:r>
          </w:p>
        </w:tc>
      </w:tr>
      <w:tr>
        <w:tc>
          <w:tcPr/>
          <w:p>
            <w:pPr>
              <w:pStyle w:val="Compact"/>
            </w:pPr>
            <w:r>
              <w:t xml:space="preserve">DC to Chicago (1,200 km)</w:t>
            </w:r>
          </w:p>
        </w:tc>
        <w:tc>
          <w:tcPr/>
          <w:p>
            <w:pPr>
              <w:pStyle w:val="Compact"/>
            </w:pPr>
            <w:r>
              <w:t xml:space="preserve">1,200 km</w:t>
            </w:r>
          </w:p>
        </w:tc>
        <w:tc>
          <w:tcPr/>
          <w:p>
            <w:pPr>
              <w:pStyle w:val="Compact"/>
            </w:pPr>
            <w:r>
              <w:t xml:space="preserve">12 ms</w:t>
            </w:r>
          </w:p>
        </w:tc>
        <w:tc>
          <w:tcPr/>
          <w:p>
            <w:pPr>
              <w:pStyle w:val="Compact"/>
            </w:pPr>
            <w:r>
              <w:t xml:space="preserve">16–25 ms</w:t>
            </w:r>
          </w:p>
        </w:tc>
        <w:tc>
          <w:tcPr/>
          <w:p>
            <w:pPr>
              <w:pStyle w:val="Compact"/>
            </w:pPr>
            <w:r>
              <w:t xml:space="preserve">4–13 ms</w:t>
            </w:r>
          </w:p>
        </w:tc>
      </w:tr>
      <w:tr>
        <w:tc>
          <w:tcPr/>
          <w:p>
            <w:pPr>
              <w:pStyle w:val="Compact"/>
            </w:pPr>
            <w:r>
              <w:t xml:space="preserve">DC to LA (2,700 km)</w:t>
            </w:r>
          </w:p>
        </w:tc>
        <w:tc>
          <w:tcPr/>
          <w:p>
            <w:pPr>
              <w:pStyle w:val="Compact"/>
            </w:pPr>
            <w:r>
              <w:t xml:space="preserve">2,700 km</w:t>
            </w:r>
          </w:p>
        </w:tc>
        <w:tc>
          <w:tcPr/>
          <w:p>
            <w:pPr>
              <w:pStyle w:val="Compact"/>
            </w:pPr>
            <w:r>
              <w:t xml:space="preserve">27 ms</w:t>
            </w:r>
          </w:p>
        </w:tc>
        <w:tc>
          <w:tcPr/>
          <w:p>
            <w:pPr>
              <w:pStyle w:val="Compact"/>
            </w:pPr>
            <w:r>
              <w:t xml:space="preserve">65–90 ms</w:t>
            </w:r>
          </w:p>
        </w:tc>
        <w:tc>
          <w:tcPr/>
          <w:p>
            <w:pPr>
              <w:pStyle w:val="Compact"/>
            </w:pPr>
            <w:r>
              <w:t xml:space="preserve">38–63 ms</w:t>
            </w:r>
          </w:p>
        </w:tc>
      </w:tr>
      <w:tr>
        <w:tc>
          <w:tcPr/>
          <w:p>
            <w:pPr>
              <w:pStyle w:val="Compact"/>
            </w:pPr>
            <w:r>
              <w:t xml:space="preserve">NY to London (5,600 km)</w:t>
            </w:r>
          </w:p>
        </w:tc>
        <w:tc>
          <w:tcPr/>
          <w:p>
            <w:pPr>
              <w:pStyle w:val="Compact"/>
            </w:pPr>
            <w:r>
              <w:t xml:space="preserve">5,600 km</w:t>
            </w:r>
          </w:p>
        </w:tc>
        <w:tc>
          <w:tcPr/>
          <w:p>
            <w:pPr>
              <w:pStyle w:val="Compact"/>
            </w:pPr>
            <w:r>
              <w:t xml:space="preserve">56 ms</w:t>
            </w:r>
          </w:p>
        </w:tc>
        <w:tc>
          <w:tcPr/>
          <w:p>
            <w:pPr>
              <w:pStyle w:val="Compact"/>
            </w:pPr>
            <w:r>
              <w:t xml:space="preserve">80–110 ms</w:t>
            </w:r>
          </w:p>
        </w:tc>
        <w:tc>
          <w:tcPr/>
          <w:p>
            <w:pPr>
              <w:pStyle w:val="Compact"/>
            </w:pPr>
            <w:r>
              <w:t xml:space="preserve">24–54 ms</w:t>
            </w:r>
          </w:p>
        </w:tc>
      </w:tr>
      <w:tr>
        <w:tc>
          <w:tcPr/>
          <w:p>
            <w:pPr>
              <w:pStyle w:val="Compact"/>
            </w:pPr>
            <w:r>
              <w:t xml:space="preserve">NY to Singapore (15,300 km)</w:t>
            </w:r>
          </w:p>
        </w:tc>
        <w:tc>
          <w:tcPr/>
          <w:p>
            <w:pPr>
              <w:pStyle w:val="Compact"/>
            </w:pPr>
            <w:r>
              <w:t xml:space="preserve">15,300 km</w:t>
            </w:r>
          </w:p>
        </w:tc>
        <w:tc>
          <w:tcPr/>
          <w:p>
            <w:pPr>
              <w:pStyle w:val="Compact"/>
            </w:pPr>
            <w:r>
              <w:t xml:space="preserve">153 ms</w:t>
            </w:r>
          </w:p>
        </w:tc>
        <w:tc>
          <w:tcPr/>
          <w:p>
            <w:pPr>
              <w:pStyle w:val="Compact"/>
            </w:pPr>
            <w:r>
              <w:t xml:space="preserve">250–350 ms</w:t>
            </w:r>
          </w:p>
        </w:tc>
        <w:tc>
          <w:tcPr/>
          <w:p>
            <w:pPr>
              <w:pStyle w:val="Compact"/>
            </w:pPr>
            <w:r>
              <w:t xml:space="preserve">97–197 ms</w:t>
            </w:r>
          </w:p>
        </w:tc>
      </w:tr>
    </w:tbl>
    <w:p>
      <w:pPr>
        <w:pStyle w:val="BodyText"/>
      </w:pPr>
      <w:r>
        <w:t xml:space="preserve">The</w:t>
      </w:r>
      <w:r>
        <w:t xml:space="preserve"> </w:t>
      </w:r>
      <w:r>
        <w:rPr>
          <w:b/>
          <w:bCs/>
        </w:rPr>
        <w:t xml:space="preserve">physics floor</w:t>
      </w:r>
      <w:r>
        <w:t xml:space="preserve"> </w:t>
      </w:r>
      <w:r>
        <w:t xml:space="preserve">is not reducible by any software, protocol, or network engineering. Light cannot travel faster. Fiber cannot be made shorter. The floor is the floor.</w:t>
      </w:r>
    </w:p>
    <w:p>
      <w:pPr>
        <w:pStyle w:val="BodyText"/>
      </w:pPr>
      <w:r>
        <w:t xml:space="preserve">The</w:t>
      </w:r>
      <w:r>
        <w:t xml:space="preserve"> </w:t>
      </w:r>
      <w:r>
        <w:rPr>
          <w:b/>
          <w:bCs/>
        </w:rPr>
        <w:t xml:space="preserve">addressable gap</w:t>
      </w:r>
      <w:r>
        <w:t xml:space="preserve"> </w:t>
      </w:r>
      <w:r>
        <w:t xml:space="preserve">—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bookmarkEnd w:id="24"/>
    <w:bookmarkStart w:id="25" w:name="implications-for-consistency-models"/>
    <w:p>
      <w:pPr>
        <w:pStyle w:val="Heading2"/>
      </w:pPr>
      <w:r>
        <w:t xml:space="preserve">3.2 Implications for Consistency Models</w:t>
      </w:r>
    </w:p>
    <w:p>
      <w:pPr>
        <w:pStyle w:val="FirstParagraph"/>
      </w:pPr>
      <w:r>
        <w:t xml:space="preserve">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pPr>
        <w:pStyle w:val="Compact"/>
        <w:numPr>
          <w:ilvl w:val="0"/>
          <w:numId w:val="1002"/>
        </w:numPr>
      </w:pPr>
      <w:r>
        <w:t xml:space="preserve">A strongly consistent read from LA requires at minimum one round trip to DC:</w:t>
      </w:r>
      <w:r>
        <w:t xml:space="preserve"> </w:t>
      </w:r>
      <w:r>
        <w:rPr>
          <w:b/>
          <w:bCs/>
        </w:rPr>
        <w:t xml:space="preserve">54ms physics floor, observed 130–180ms</w:t>
      </w:r>
    </w:p>
    <w:p>
      <w:pPr>
        <w:pStyle w:val="Compact"/>
        <w:numPr>
          <w:ilvl w:val="0"/>
          <w:numId w:val="1002"/>
        </w:numPr>
      </w:pPr>
      <w:r>
        <w:t xml:space="preserve">A strongly consistent write from LA requires at minimum one round trip to DC: same</w:t>
      </w:r>
    </w:p>
    <w:p>
      <w:pPr>
        <w:pStyle w:val="FirstParagraph"/>
      </w:pPr>
      <w:r>
        <w:t xml:space="preserve">This is not a configuration problem. It is not a database vendor problem. It is the physics of the deployment.</w:t>
      </w:r>
    </w:p>
    <w:p>
      <w:pPr>
        <w:pStyle w:val="BodyText"/>
      </w:pPr>
      <w:r>
        <w:rPr>
          <w:b/>
          <w:bCs/>
        </w:rPr>
        <w:t xml:space="preserve">The correct architecture for cross-region access is:</w:t>
      </w:r>
    </w:p>
    <w:p>
      <w:pPr>
        <w:pStyle w:val="Compact"/>
        <w:numPr>
          <w:ilvl w:val="0"/>
          <w:numId w:val="1003"/>
        </w:numPr>
      </w:pPr>
      <w:r>
        <w:rPr>
          <w:b/>
          <w:bCs/>
        </w:rPr>
        <w:t xml:space="preserve">Intra-region writes.</w:t>
      </w:r>
      <w:r>
        <w:t xml:space="preserve"> </w:t>
      </w:r>
      <w:r>
        <w:t xml:space="preserve">All writes go to the single-region primary. Strong consistency is free within the region (sub-ms).</w:t>
      </w:r>
    </w:p>
    <w:p>
      <w:pPr>
        <w:pStyle w:val="Compact"/>
        <w:numPr>
          <w:ilvl w:val="0"/>
          <w:numId w:val="1003"/>
        </w:numPr>
      </w:pPr>
      <w:r>
        <w:rPr>
          <w:b/>
          <w:bCs/>
        </w:rPr>
        <w:t xml:space="preserve">Async replication for DR.</w:t>
      </w:r>
      <w:r>
        <w:t xml:space="preserve"> </w:t>
      </w:r>
      <w:r>
        <w:t xml:space="preserve">The primary replicates asynchronously to a DR replica in a second region. The lag is bounded by the async commit design — typically seconds for healthy replication.</w:t>
      </w:r>
    </w:p>
    <w:p>
      <w:pPr>
        <w:pStyle w:val="Compact"/>
        <w:numPr>
          <w:ilvl w:val="0"/>
          <w:numId w:val="1003"/>
        </w:numPr>
      </w:pPr>
      <w:r>
        <w:rPr>
          <w:b/>
          <w:bCs/>
        </w:rPr>
        <w:t xml:space="preserve">Read replicas for latency.</w:t>
      </w:r>
      <w:r>
        <w:t xml:space="preserve"> </w:t>
      </w:r>
      <w:r>
        <w:t xml:space="preserve">Readers that can tolerate bounded staleness read from the nearest replica. The staleness bound is configured and monitored.</w:t>
      </w:r>
    </w:p>
    <w:p>
      <w:pPr>
        <w:pStyle w:val="Compact"/>
        <w:numPr>
          <w:ilvl w:val="0"/>
          <w:numId w:val="1003"/>
        </w:numPr>
      </w:pPr>
      <w:r>
        <w:rPr>
          <w:b/>
          <w:bCs/>
        </w:rPr>
        <w:t xml:space="preserve">CRDT or eventual consistency for merge scenarios.</w:t>
      </w:r>
      <w:r>
        <w:t xml:space="preserve"> </w:t>
      </w:r>
      <w:r>
        <w:t xml:space="preserve">Multi-writer workloads use conflict-free replicated data types (CRDTs) or operational transformation to merge concurrent writes deterministically.</w:t>
      </w:r>
    </w:p>
    <w:p>
      <w:pPr>
        <w:pStyle w:val="FirstParagraph"/>
      </w:pPr>
      <w:r>
        <w:t xml:space="preserve">The</w:t>
      </w:r>
      <w:r>
        <w:t xml:space="preserve"> </w:t>
      </w:r>
      <w:r>
        <w:rPr>
          <w:b/>
          <w:bCs/>
        </w:rPr>
        <w:t xml:space="preserve">consistency class</w:t>
      </w:r>
      <w:r>
        <w:t xml:space="preserve"> </w:t>
      </w:r>
      <w:r>
        <w:t xml:space="preserve">selected for a workload must match the</w:t>
      </w:r>
      <w:r>
        <w:t xml:space="preserve"> </w:t>
      </w:r>
      <w:r>
        <w:rPr>
          <w:b/>
          <w:bCs/>
        </w:rPr>
        <w:t xml:space="preserve">network transport class</w:t>
      </w:r>
      <w:r>
        <w:t xml:space="preserve"> </w:t>
      </w:r>
      <w:r>
        <w:t xml:space="preserve">available for that workload’s traffic. This is the central design rule of this document.</w:t>
      </w:r>
    </w:p>
    <w:bookmarkEnd w:id="25"/>
    <w:bookmarkStart w:id="26" w:name="physics-is-not-a-procurement-decision"/>
    <w:p>
      <w:pPr>
        <w:pStyle w:val="Heading2"/>
      </w:pPr>
      <w:r>
        <w:t xml:space="preserve">3.3 Physics Is Not a Procurement Decision</w:t>
      </w:r>
    </w:p>
    <w:p>
      <w:pPr>
        <w:pStyle w:val="FirstParagraph"/>
      </w:pPr>
      <w:r>
        <w:t xml:space="preserve">The propagation floor is not a database-specific observation. It is the general form of an argument that runs through this entire series: every latency-sensitive workload in the federal enterprise carries a budget that physics sets and no acquisition can change. Voice carries ITU-T G.114’s 150ms one-way ceiling — above it, talker echo is perceptible and the call degrades, regardless of what the contract says. Distributed databases carry the propagation floors documented in this chapter — a strongly consistent read from LA against a DC primary costs 54ms round trip before the first byte of processing, regardless of which vendor sold the circuit. These budgets are</w:t>
      </w:r>
      <w:r>
        <w:t xml:space="preserve"> </w:t>
      </w:r>
      <w:r>
        <w:rPr>
          <w:b/>
          <w:bCs/>
        </w:rPr>
        <w:t xml:space="preserve">non-negotiable inputs</w:t>
      </w:r>
      <w:r>
        <w:t xml:space="preserve"> </w:t>
      </w:r>
      <w:r>
        <w:t xml:space="preserve">to architecture. They cannot be traded against cost in a source selection, waived in a risk acceptance memo, or engineered away by a faster router. Light in fiber travels at approximately 200,000 km/s, and no procurement decision repeals that.</w:t>
      </w:r>
    </w:p>
    <w:p>
      <w:pPr>
        <w:pStyle w:val="BodyText"/>
      </w:pPr>
      <w:r>
        <w:t xml:space="preserve">Exactly one purchasing decision touches the floor:</w:t>
      </w:r>
      <w:r>
        <w:t xml:space="preserve"> </w:t>
      </w:r>
      <w:r>
        <w:rPr>
          <w:b/>
          <w:bCs/>
        </w:rPr>
        <w:t xml:space="preserve">where traffic enters the network.</w:t>
      </w:r>
      <w:r>
        <w:t xml:space="preserve"> </w:t>
      </w:r>
      <w:r>
        <w:t xml:space="preserve">Direct Internet Access — local breakout — shortens the physical path by eliminating the geographic hairpin, the same way regional database placement shortens the path between a write and its quorum. Distance is the only latency variable a buyer controls, which is why DIA is the only latency fix that exists. There is no second one.</w:t>
      </w:r>
    </w:p>
    <w:p>
      <w:pPr>
        <w:pStyle w:val="BodyText"/>
      </w:pPr>
      <w:r>
        <w:t xml:space="preserve">And it is</w:t>
      </w:r>
      <w:r>
        <w:t xml:space="preserve"> </w:t>
      </w:r>
      <w:r>
        <w:rPr>
          <w:i/>
          <w:iCs/>
        </w:rPr>
        <w:t xml:space="preserve">only</w:t>
      </w:r>
      <w:r>
        <w:t xml:space="preserve"> </w:t>
      </w:r>
      <w:r>
        <w:t xml:space="preserve">a latency fix. A DIA circuit satisfies exactly zero NIST controls. It carries traffic unencrypted at the network layer (SC-8 open). It has no notion of traffic class, so quorum ACKs and backup streams contend for the same queue (SC-5 open). It produces no application-layer telemetry (SI-4 open) and no transport evidence (CA-7 open). Every control claimed in the vicinity of the circuit is satisfied by the SD-WAN overlay and the policy stack that govern it — never by the pipe. An agency that buys the circuit without the overlay has purchased lower latency and a compliance regression, and no subsequent circuit purchase — a second DIA, an MPLS upgrade, dark fiber, more bandwidth — closes any of it. Circuits change how fast packets travel; controls are about what happens to them on the way.</w:t>
      </w:r>
    </w:p>
    <w:p>
      <w:pPr>
        <w:pStyle w:val="BodyText"/>
      </w:pPr>
      <w:r>
        <w:t xml:space="preserve">Applied to this document’s subject, the doctrine reads: place the primary at the regional center of gravity of its write consumers, because that is arranging around the floor; let SD-WAN attack the addressable gap between the floor and observed latency, because that is the portion engineering can reach; assign each workload the consistency class its geography can actually deliver, because pretending otherwise just relocates the physics into mysterious query latency. Architecture is not the act of overcoming physics. It is the act of arranging around what physics permits — and the propagation floor is where that discipline starts.</w:t>
      </w:r>
    </w:p>
    <w:bookmarkEnd w:id="26"/>
    <w:bookmarkEnd w:id="27"/>
    <w:bookmarkStart w:id="35" w:name="sd-wan-as-the-databases-network-ally"/>
    <w:p>
      <w:pPr>
        <w:pStyle w:val="Heading1"/>
      </w:pPr>
      <w:r>
        <w:t xml:space="preserve">4. SD-WAN as the Database’s Network Ally</w:t>
      </w:r>
    </w:p>
    <w:p>
      <w:pPr>
        <w:pStyle w:val="FirstParagraph"/>
      </w:pPr>
      <w:r>
        <w:t xml:space="preserve">SD-WAN does not eliminate the physics floor. What it does is reduce the gap between the physics floor and the observed latency, and it separates traffic classes so that high-priority database traffic is not competing with bulk data transfers for the same network path.</w:t>
      </w:r>
    </w:p>
    <w:tbl>
      <w:tblPr>
        <w:tblStyle w:val="Table"/>
        <w:tblW w:type="pct" w:w="5000"/>
        <w:tblLayout w:type="fixed"/>
        <w:tblLook w:firstRow="0" w:lastRow="0" w:firstColumn="0" w:lastColumn="0" w:noHBand="0" w:noVBand="0" w:val="0000"/>
      </w:tblPr>
      <w:tblGrid>
        <w:gridCol w:w="7920"/>
      </w:tblGrid>
      <w:tr>
        <w:tc>
          <w:tcPr/>
          <w:bookmarkStart w:id="31" w:name="fig-db03"/>
          <w:p>
            <w:pPr>
              <w:pStyle w:val="Compact"/>
              <w:jc w:val="center"/>
            </w:pPr>
            <w:r>
              <w:drawing>
                <wp:inline>
                  <wp:extent cx="5334000" cy="2359269"/>
                  <wp:effectExtent b="0" l="0" r="0" t="0"/>
                  <wp:docPr descr="" title="" id="29" name="Picture"/>
                  <a:graphic>
                    <a:graphicData uri="http://schemas.openxmlformats.org/drawingml/2006/picture">
                      <pic:pic>
                        <pic:nvPicPr>
                          <pic:cNvPr descr="figs/db-fig-03-sdwan-traffic-class.png" id="30" name="Picture"/>
                          <pic:cNvPicPr>
                            <a:picLocks noChangeArrowheads="1" noChangeAspect="1"/>
                          </pic:cNvPicPr>
                        </pic:nvPicPr>
                        <pic:blipFill>
                          <a:blip r:embed="rId28"/>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SD-WAN separates database traffic into lean (low-latency) and fat (bulk) lanes, protecting consensus quorum ACKs from competing with backup and replication transfers.</w:t>
            </w:r>
          </w:p>
          <w:bookmarkEnd w:id="31"/>
        </w:tc>
      </w:tr>
    </w:tbl>
    <w:bookmarkStart w:id="32" w:name="near-geodesic-routing"/>
    <w:p>
      <w:pPr>
        <w:pStyle w:val="Heading2"/>
      </w:pPr>
      <w:r>
        <w:t xml:space="preserve">4.1 Near-Geodesic Routing</w:t>
      </w:r>
    </w:p>
    <w:p>
      <w:pPr>
        <w:pStyle w:val="FirstParagraph"/>
      </w:pPr>
      <w:r>
        <w:t xml:space="preserve">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pPr>
        <w:pStyle w:val="BodyText"/>
      </w:pPr>
      <w:r>
        <w:t xml:space="preserve">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pPr>
        <w:pStyle w:val="BodyText"/>
      </w:pPr>
      <w:r>
        <w:t xml:space="preserve">For database applications, near-geodesic routing reduces the observed latency toward the physics floor. The DC-to-Oregon route that takes 95ms over an MPLS path with Midwest hops may take 68ms over a direct broadband path with west-coast peering.</w:t>
      </w:r>
    </w:p>
    <w:bookmarkEnd w:id="32"/>
    <w:bookmarkStart w:id="33" w:name="three-benefits-for-database-architecture"/>
    <w:p>
      <w:pPr>
        <w:pStyle w:val="Heading2"/>
      </w:pPr>
      <w:r>
        <w:t xml:space="preserve">4.2 Three Benefits for Database Architecture</w:t>
      </w:r>
    </w:p>
    <w:p>
      <w:pPr>
        <w:pStyle w:val="FirstParagraph"/>
      </w:pPr>
      <w:r>
        <w:rPr>
          <w:b/>
          <w:bCs/>
        </w:rPr>
        <w:t xml:space="preserve">Benefit 1 — Near-geodesic routing.</w:t>
      </w:r>
      <w:r>
        <w:t xml:space="preserve"> </w:t>
      </w:r>
      <w:r>
        <w:t xml:space="preserve">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pPr>
        <w:pStyle w:val="BodyText"/>
      </w:pPr>
      <w:r>
        <w:rPr>
          <w:b/>
          <w:bCs/>
        </w:rPr>
        <w:t xml:space="preserve">Benefit 2 — Forward Error Correction (FEC) and packet duplication.</w:t>
      </w:r>
      <w:r>
        <w:t xml:space="preserve"> </w:t>
      </w:r>
      <w:r>
        <w:t xml:space="preserve">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pPr>
        <w:pStyle w:val="BodyText"/>
      </w:pPr>
      <w:r>
        <w:rPr>
          <w:b/>
          <w:bCs/>
        </w:rPr>
        <w:t xml:space="preserve">Benefit 3 — Traffic class separation.</w:t>
      </w:r>
      <w:r>
        <w:t xml:space="preserve"> </w:t>
      </w:r>
      <w:r>
        <w:t xml:space="preserve">SD-WAN can mark and route different traffic classes over different underlying paths. This enables the separation of:</w:t>
      </w:r>
    </w:p>
    <w:p>
      <w:pPr>
        <w:pStyle w:val="Compact"/>
        <w:numPr>
          <w:ilvl w:val="0"/>
          <w:numId w:val="1004"/>
        </w:numPr>
      </w:pPr>
      <w:r>
        <w:rPr>
          <w:b/>
          <w:bCs/>
        </w:rPr>
        <w:t xml:space="preserve">Lean traffic</w:t>
      </w:r>
      <w:r>
        <w:t xml:space="preserve"> </w:t>
      </w:r>
      <w:r>
        <w:t xml:space="preserve">(consensus heartbeats, leader election, quorum ACKs, clock synchronization) → low-latency path, strict priority queuing</w:t>
      </w:r>
    </w:p>
    <w:p>
      <w:pPr>
        <w:pStyle w:val="Compact"/>
        <w:numPr>
          <w:ilvl w:val="0"/>
          <w:numId w:val="1004"/>
        </w:numPr>
      </w:pPr>
      <w:r>
        <w:rPr>
          <w:b/>
          <w:bCs/>
        </w:rPr>
        <w:t xml:space="preserve">Fat traffic</w:t>
      </w:r>
      <w:r>
        <w:t xml:space="preserve"> </w:t>
      </w:r>
      <w:r>
        <w:t xml:space="preserve">(backups, async replication, analytics exports) → bulk path, best-effort delivery</w:t>
      </w:r>
    </w:p>
    <w:p>
      <w:pPr>
        <w:pStyle w:val="FirstParagraph"/>
      </w:pPr>
      <w:r>
        <w:t xml:space="preserve">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bookmarkEnd w:id="33"/>
    <w:bookmarkStart w:id="34" w:name="the-lean-fat-design-rule"/>
    <w:p>
      <w:pPr>
        <w:pStyle w:val="Heading2"/>
      </w:pPr>
      <w:r>
        <w:t xml:space="preserve">4.3 The Lean-Fat Design Rule</w:t>
      </w:r>
    </w:p>
    <w:p>
      <w:pPr>
        <w:pStyle w:val="FirstParagraph"/>
      </w:pPr>
      <w:r>
        <w:t xml:space="preserve">The lean-fat separation maps directly to database replication topology:</w:t>
      </w:r>
    </w:p>
    <w:p>
      <w:pPr>
        <w:pStyle w:val="BodyText"/>
      </w:pPr>
      <w:r>
        <w:rPr>
          <w:b/>
          <w:bCs/>
        </w:rPr>
        <w:t xml:space="preserve">Route over the lean lane:</w:t>
      </w:r>
      <w:r>
        <w:t xml:space="preserve"> </w:t>
      </w:r>
      <w:r>
        <w:t xml:space="preserve">- Raft/Paxos consensus heartbeats</w:t>
      </w:r>
      <w:r>
        <w:t xml:space="preserve"> </w:t>
      </w:r>
      <w:r>
        <w:t xml:space="preserve">- Leader election traffic</w:t>
      </w:r>
      <w:r>
        <w:t xml:space="preserve"> </w:t>
      </w:r>
      <w:r>
        <w:t xml:space="preserve">- Synchronous commit acknowledgements (quorum ACKs)</w:t>
      </w:r>
      <w:r>
        <w:t xml:space="preserve"> </w:t>
      </w:r>
      <w:r>
        <w:t xml:space="preserve">- Time synchronization (NTP)</w:t>
      </w:r>
      <w:r>
        <w:t xml:space="preserve"> </w:t>
      </w:r>
      <w:r>
        <w:t xml:space="preserve">- Entra Conditional Access token validation (this is not a database operation but it is in the path of every database connection establishment)</w:t>
      </w:r>
    </w:p>
    <w:p>
      <w:pPr>
        <w:pStyle w:val="BodyText"/>
      </w:pPr>
      <w:r>
        <w:rPr>
          <w:b/>
          <w:bCs/>
        </w:rPr>
        <w:t xml:space="preserve">Route over the fat lane:</w:t>
      </w:r>
      <w:r>
        <w:t xml:space="preserve"> </w:t>
      </w:r>
      <w:r>
        <w:t xml:space="preserve">- Initial base snapshots (used for adding a new replica)</w:t>
      </w:r>
      <w:r>
        <w:t xml:space="preserve"> </w:t>
      </w:r>
      <w:r>
        <w:t xml:space="preserve">- Async log shipping (disaster recovery replication)</w:t>
      </w:r>
      <w:r>
        <w:t xml:space="preserve"> </w:t>
      </w:r>
      <w:r>
        <w:t xml:space="preserve">- Analytics replica sync</w:t>
      </w:r>
      <w:r>
        <w:t xml:space="preserve"> </w:t>
      </w:r>
      <w:r>
        <w:t xml:space="preserve">- Database backups</w:t>
      </w:r>
      <w:r>
        <w:t xml:space="preserve"> </w:t>
      </w:r>
      <w:r>
        <w:t xml:space="preserve">- Telemetry and monitoring data</w:t>
      </w:r>
    </w:p>
    <w:p>
      <w:pPr>
        <w:pStyle w:val="BodyText"/>
      </w:pPr>
      <w:r>
        <w:t xml:space="preserve">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pPr>
        <w:pStyle w:val="BlockText"/>
      </w:pPr>
      <w:r>
        <w:rPr>
          <w:b/>
          <w:bCs/>
        </w:rPr>
        <w:t xml:space="preserve">Closure Necessity — SC-5 on shared database paths.</w:t>
      </w:r>
      <w:r>
        <w:t xml:space="preserve"> </w:t>
      </w:r>
      <w:r>
        <w:t xml:space="preserve">SC-5 requires the system to protect against or limit the effects of organization-defined denial-of-service events. For a distributed database cluster, the defining event is internal: a bulk replication or backup stream that floods the path carrying quorum ACKs, delaying heartbeats until the cluster loses quorum. More bandwidth does not close this — bulk transfers expand to fill whatever pipe exists. Database-side throttling does not close it — the engine cannot see or schedule the network path. The only mechanism that separates quorum ACKs from bulk replication on a shared path is SD-WAN traffic-class marking with per-class queuing and path policy. There is no circuit size, backup window, or configuration setting that closes SC-5 for a distributed cluster on an unclassified path.</w:t>
      </w:r>
    </w:p>
    <w:bookmarkEnd w:id="34"/>
    <w:bookmarkEnd w:id="35"/>
    <w:bookmarkStart w:id="39" w:name="Xfbb1f7773042e08616c17be8eb76330402b25e8"/>
    <w:p>
      <w:pPr>
        <w:pStyle w:val="Heading1"/>
      </w:pPr>
      <w:r>
        <w:t xml:space="preserve">5. Token-Based Security as an Architectural Enabler</w:t>
      </w:r>
    </w:p>
    <w:p>
      <w:pPr>
        <w:pStyle w:val="FirstParagraph"/>
      </w:pPr>
      <w:r>
        <w:t xml:space="preserve">The shift from perimeter-based to token-based security is not merely an authentication change. It is an architectural change that removes the network perimeter as the primary access control mechanism for databases.</w:t>
      </w:r>
    </w:p>
    <w:bookmarkStart w:id="36" w:name="what-the-perimeter-was-providing"/>
    <w:p>
      <w:pPr>
        <w:pStyle w:val="Heading2"/>
      </w:pPr>
      <w:r>
        <w:t xml:space="preserve">5.1 What the Perimeter Was Providing</w:t>
      </w:r>
    </w:p>
    <w:p>
      <w:pPr>
        <w:pStyle w:val="FirstParagraph"/>
      </w:pPr>
      <w:r>
        <w:t xml:space="preserve">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pPr>
        <w:pStyle w:val="BodyText"/>
      </w:pPr>
      <w:r>
        <w:t xml:space="preserve">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pPr>
        <w:pStyle w:val="BodyText"/>
      </w:pPr>
      <w:r>
        <w:t xml:space="preserve">Token-based authentication eliminates the structural dependency on the perimeter. An Entra ID token is cryptographically bound to:</w:t>
      </w:r>
    </w:p>
    <w:p>
      <w:pPr>
        <w:pStyle w:val="Compact"/>
        <w:numPr>
          <w:ilvl w:val="0"/>
          <w:numId w:val="1005"/>
        </w:numPr>
      </w:pPr>
      <w:r>
        <w:t xml:space="preserve">The specific identity that requested it (a specific user or Managed Identity)</w:t>
      </w:r>
    </w:p>
    <w:p>
      <w:pPr>
        <w:pStyle w:val="Compact"/>
        <w:numPr>
          <w:ilvl w:val="0"/>
          <w:numId w:val="1005"/>
        </w:numPr>
      </w:pPr>
      <w:r>
        <w:t xml:space="preserve">The specific resource it is valid for (the specific SQL Server endpoint)</w:t>
      </w:r>
    </w:p>
    <w:p>
      <w:pPr>
        <w:pStyle w:val="Compact"/>
        <w:numPr>
          <w:ilvl w:val="0"/>
          <w:numId w:val="1005"/>
        </w:numPr>
      </w:pPr>
      <w:r>
        <w:t xml:space="preserve">A specific time window (access tokens expire, typically in one hour)</w:t>
      </w:r>
    </w:p>
    <w:p>
      <w:pPr>
        <w:pStyle w:val="Compact"/>
        <w:numPr>
          <w:ilvl w:val="0"/>
          <w:numId w:val="1005"/>
        </w:numPr>
      </w:pPr>
      <w:r>
        <w:t xml:space="preserve">A specific tenant (the agency’s Entra tenant)</w:t>
      </w:r>
    </w:p>
    <w:p>
      <w:pPr>
        <w:pStyle w:val="FirstParagraph"/>
      </w:pPr>
      <w:r>
        <w:t xml:space="preserve">A stolen token is scoped to one resource for one hour. It cannot be used for lateral movement to other resources. It cannot be reused after expiration. It cannot be used from a non-compliant device if the Conditional Access policy requires device compliance.</w:t>
      </w:r>
    </w:p>
    <w:bookmarkEnd w:id="36"/>
    <w:bookmarkStart w:id="37" w:name="Xece8304eb3395c54de6330562c48461e66a0c87"/>
    <w:p>
      <w:pPr>
        <w:pStyle w:val="Heading2"/>
      </w:pPr>
      <w:r>
        <w:t xml:space="preserve">5.2 Token-Based Security Dissolves Perimeter Fragmentation</w:t>
      </w:r>
    </w:p>
    <w:p>
      <w:pPr>
        <w:pStyle w:val="FirstParagraph"/>
      </w:pPr>
      <w:r>
        <w:t xml:space="preserve">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pPr>
        <w:pStyle w:val="BodyText"/>
      </w:pPr>
      <w:r>
        <w:t xml:space="preserve">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pPr>
        <w:pStyle w:val="BodyText"/>
      </w:pPr>
      <w:r>
        <w:t xml:space="preserve">This is why the zero-trust architecture enables more aggressive database consolidation: the security model no longer requires database fragmentation to maintain access control isolation.</w:t>
      </w:r>
    </w:p>
    <w:bookmarkEnd w:id="37"/>
    <w:bookmarkStart w:id="38" w:name="token-scope-and-database-authorization"/>
    <w:p>
      <w:pPr>
        <w:pStyle w:val="Heading2"/>
      </w:pPr>
      <w:r>
        <w:t xml:space="preserve">5.3 Token Scope and Database Authorization</w:t>
      </w:r>
    </w:p>
    <w:p>
      <w:pPr>
        <w:pStyle w:val="FirstParagraph"/>
      </w:pPr>
      <w:r>
        <w:t xml:space="preserve">Entra access tokens for SQL Server are scoped to the specific SQL Server resource. A token issued for</w:t>
      </w:r>
      <w:r>
        <w:t xml:space="preserve"> </w:t>
      </w:r>
      <w:r>
        <w:rPr>
          <w:rStyle w:val="VerbatimChar"/>
        </w:rPr>
        <w:t xml:space="preserve">sql01.agency.gov</w:t>
      </w:r>
      <w:r>
        <w:t xml:space="preserve"> </w:t>
      </w:r>
      <w:r>
        <w:t xml:space="preserve">is not valid against</w:t>
      </w:r>
      <w:r>
        <w:t xml:space="preserve"> </w:t>
      </w:r>
      <w:r>
        <w:rPr>
          <w:rStyle w:val="VerbatimChar"/>
        </w:rPr>
        <w:t xml:space="preserve">sql02.agency.gov</w:t>
      </w:r>
      <w:r>
        <w:t xml:space="preserve">. Token scope provides the access control isolation that the perimeter model achieved through network segmentation.</w:t>
      </w:r>
    </w:p>
    <w:p>
      <w:pPr>
        <w:pStyle w:val="BodyText"/>
      </w:pPr>
      <w:r>
        <w:t xml:space="preserve">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bookmarkEnd w:id="38"/>
    <w:bookmarkEnd w:id="39"/>
    <w:bookmarkStart w:id="48" w:name="X8708633d8781b5027e2377a4fc03650b6e96028"/>
    <w:p>
      <w:pPr>
        <w:pStyle w:val="Heading1"/>
      </w:pPr>
      <w:r>
        <w:t xml:space="preserve">6. Consistency Classes and Transport Classes</w:t>
      </w:r>
    </w:p>
    <w:p>
      <w:pPr>
        <w:pStyle w:val="FirstParagraph"/>
      </w:pPr>
      <w:r>
        <w:t xml:space="preserve">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tbl>
      <w:tblPr>
        <w:tblStyle w:val="Table"/>
        <w:tblW w:type="pct" w:w="5000"/>
        <w:tblLayout w:type="fixed"/>
        <w:tblLook w:firstRow="0" w:lastRow="0" w:firstColumn="0" w:lastColumn="0" w:noHBand="0" w:noVBand="0" w:val="0000"/>
      </w:tblPr>
      <w:tblGrid>
        <w:gridCol w:w="7920"/>
      </w:tblGrid>
      <w:tr>
        <w:tc>
          <w:tcPr/>
          <w:bookmarkStart w:id="43" w:name="fig-db04"/>
          <w:p>
            <w:pPr>
              <w:pStyle w:val="Compact"/>
              <w:jc w:val="center"/>
            </w:pPr>
            <w:r>
              <w:drawing>
                <wp:inline>
                  <wp:extent cx="5334000" cy="2082311"/>
                  <wp:effectExtent b="0" l="0" r="0" t="0"/>
                  <wp:docPr descr="" title="" id="41" name="Picture"/>
                  <a:graphic>
                    <a:graphicData uri="http://schemas.openxmlformats.org/drawingml/2006/picture">
                      <pic:pic>
                        <pic:nvPicPr>
                          <pic:cNvPr descr="figs/db-fig-04-consistency-transport.png" id="42" name="Picture"/>
                          <pic:cNvPicPr>
                            <a:picLocks noChangeArrowheads="1" noChangeAspect="1"/>
                          </pic:cNvPicPr>
                        </pic:nvPicPr>
                        <pic:blipFill>
                          <a:blip r:embed="rId40"/>
                          <a:stretch>
                            <a:fillRect/>
                          </a:stretch>
                        </pic:blipFill>
                        <pic:spPr bwMode="auto">
                          <a:xfrm>
                            <a:off x="0" y="0"/>
                            <a:ext cx="5334000" cy="2082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Consistency class must be matched to transport class. Strong consistency belongs intra-region; async replication and eventual consistency are appropriate for cross-region.</w:t>
            </w:r>
          </w:p>
          <w:bookmarkEnd w:id="43"/>
        </w:tc>
      </w:tr>
    </w:tbl>
    <w:bookmarkStart w:id="44" w:name="the-six-consistency-classes"/>
    <w:p>
      <w:pPr>
        <w:pStyle w:val="Heading2"/>
      </w:pPr>
      <w:r>
        <w:t xml:space="preserve">6.1 The Six Consistency Classes</w:t>
      </w:r>
    </w:p>
    <w:p>
      <w:pPr>
        <w:pStyle w:val="FirstParagraph"/>
      </w:pPr>
      <w:r>
        <w:rPr>
          <w:b/>
          <w:bCs/>
        </w:rPr>
        <w:t xml:space="preserve">Strong / Serializable.</w:t>
      </w:r>
      <w:r>
        <w:t xml:space="preserve"> </w:t>
      </w:r>
      <w:r>
        <w:t xml:space="preserve">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pPr>
        <w:pStyle w:val="BodyText"/>
      </w:pPr>
      <w:r>
        <w:rPr>
          <w:b/>
          <w:bCs/>
        </w:rPr>
        <w:t xml:space="preserve">Synchronous replication.</w:t>
      </w:r>
      <w:r>
        <w:t xml:space="preserve"> </w:t>
      </w:r>
      <w:r>
        <w:t xml:space="preserve">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pPr>
        <w:pStyle w:val="BodyText"/>
      </w:pPr>
      <w:r>
        <w:rPr>
          <w:b/>
          <w:bCs/>
        </w:rPr>
        <w:t xml:space="preserve">Async replication.</w:t>
      </w:r>
      <w:r>
        <w:t xml:space="preserve"> </w:t>
      </w:r>
      <w:r>
        <w:t xml:space="preserve">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pPr>
        <w:pStyle w:val="BodyText"/>
      </w:pPr>
      <w:r>
        <w:rPr>
          <w:b/>
          <w:bCs/>
        </w:rPr>
        <w:t xml:space="preserve">Bounded staleness.</w:t>
      </w:r>
      <w:r>
        <w:t xml:space="preserve"> </w:t>
      </w:r>
      <w:r>
        <w:t xml:space="preserve">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pPr>
        <w:pStyle w:val="BodyText"/>
      </w:pPr>
      <w:r>
        <w:rPr>
          <w:b/>
          <w:bCs/>
        </w:rPr>
        <w:t xml:space="preserve">Causal / CRDT.</w:t>
      </w:r>
      <w:r>
        <w:t xml:space="preserve"> </w:t>
      </w:r>
      <w:r>
        <w:t xml:space="preserve">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pPr>
        <w:pStyle w:val="BodyText"/>
      </w:pPr>
      <w:r>
        <w:rPr>
          <w:b/>
          <w:bCs/>
        </w:rPr>
        <w:t xml:space="preserve">Eventual.</w:t>
      </w:r>
      <w:r>
        <w:t xml:space="preserve"> </w:t>
      </w:r>
      <w:r>
        <w:t xml:space="preserve">No guarantee on read recency. A write will eventually propagate to all replicas, but a read may see any version. Best for: analytics, reporting, search indexes, recommendation systems — workloads where exactness is less important than throughput.</w:t>
      </w:r>
    </w:p>
    <w:bookmarkEnd w:id="44"/>
    <w:bookmarkStart w:id="45" w:name="the-design-rule"/>
    <w:p>
      <w:pPr>
        <w:pStyle w:val="Heading2"/>
      </w:pPr>
      <w:r>
        <w:t xml:space="preserve">6.2 The Design Rule</w:t>
      </w:r>
    </w:p>
    <w:p>
      <w:pPr>
        <w:pStyle w:val="FirstParagraph"/>
      </w:pPr>
      <w:r>
        <w:t xml:space="preserve">The design rule is simple to state and often violated in practice:</w:t>
      </w:r>
    </w:p>
    <w:p>
      <w:pPr>
        <w:pStyle w:val="BodyText"/>
      </w:pPr>
      <w:r>
        <w:rPr>
          <w:b/>
          <w:bCs/>
        </w:rPr>
        <w:t xml:space="preserve">Strong consistency intra-region. Weaker consistency models for cross-region reads.</w:t>
      </w:r>
    </w:p>
    <w:p>
      <w:pPr>
        <w:pStyle w:val="BodyText"/>
      </w:pPr>
      <w:r>
        <w:t xml:space="preserve">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pPr>
        <w:pStyle w:val="BodyText"/>
      </w:pPr>
      <w:r>
        <w:t xml:space="preserve">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pPr>
        <w:pStyle w:val="BodyText"/>
      </w:pPr>
      <w:r>
        <w:rPr>
          <w:b/>
          <w:bCs/>
        </w:rPr>
        <w:t xml:space="preserve">The mistake:</w:t>
      </w:r>
      <w:r>
        <w:t xml:space="preserve"> </w:t>
      </w:r>
      <w:r>
        <w:t xml:space="preserve">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bookmarkEnd w:id="45"/>
    <w:bookmarkStart w:id="46" w:name="federal-workload-classifications"/>
    <w:p>
      <w:pPr>
        <w:pStyle w:val="Heading2"/>
      </w:pPr>
      <w:r>
        <w:t xml:space="preserve">6.3 Federal Workload Classifications</w:t>
      </w:r>
    </w:p>
    <w:p>
      <w:pPr>
        <w:pStyle w:val="FirstParagraph"/>
      </w:pPr>
      <w:r>
        <w:t xml:space="preserve">Applying the consistency framework to common federal workload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Federal Workload</w:t>
            </w:r>
          </w:p>
        </w:tc>
        <w:tc>
          <w:tcPr/>
          <w:p>
            <w:pPr>
              <w:pStyle w:val="Compact"/>
            </w:pPr>
            <w:r>
              <w:t xml:space="preserve">Consistency Requirement</w:t>
            </w:r>
          </w:p>
        </w:tc>
        <w:tc>
          <w:tcPr/>
          <w:p>
            <w:pPr>
              <w:pStyle w:val="Compact"/>
            </w:pPr>
            <w:r>
              <w:t xml:space="preserve">Recommended Transport Class</w:t>
            </w:r>
          </w:p>
        </w:tc>
      </w:tr>
      <w:tr>
        <w:tc>
          <w:tcPr/>
          <w:p>
            <w:pPr>
              <w:pStyle w:val="Compact"/>
            </w:pPr>
            <w:r>
              <w:t xml:space="preserve">Identity records (Entra / HR)</w:t>
            </w:r>
          </w:p>
        </w:tc>
        <w:tc>
          <w:tcPr/>
          <w:p>
            <w:pPr>
              <w:pStyle w:val="Compact"/>
            </w:pPr>
            <w:r>
              <w:t xml:space="preserve">Strong — must reflect current access grants</w:t>
            </w:r>
          </w:p>
        </w:tc>
        <w:tc>
          <w:tcPr/>
          <w:p>
            <w:pPr>
              <w:pStyle w:val="Compact"/>
            </w:pPr>
            <w:r>
              <w:t xml:space="preserve">LEAN, intra-region primary</w:t>
            </w:r>
          </w:p>
        </w:tc>
      </w:tr>
      <w:tr>
        <w:tc>
          <w:tcPr/>
          <w:p>
            <w:pPr>
              <w:pStyle w:val="Compact"/>
            </w:pPr>
            <w:r>
              <w:t xml:space="preserve">Financial transactions</w:t>
            </w:r>
          </w:p>
        </w:tc>
        <w:tc>
          <w:tcPr/>
          <w:p>
            <w:pPr>
              <w:pStyle w:val="Compact"/>
            </w:pPr>
            <w:r>
              <w:t xml:space="preserve">Strong — regulatory requirement for exactness</w:t>
            </w:r>
          </w:p>
        </w:tc>
        <w:tc>
          <w:tcPr/>
          <w:p>
            <w:pPr>
              <w:pStyle w:val="Compact"/>
            </w:pPr>
            <w:r>
              <w:t xml:space="preserve">LEAN, intra-region primary</w:t>
            </w:r>
          </w:p>
        </w:tc>
      </w:tr>
      <w:tr>
        <w:tc>
          <w:tcPr/>
          <w:p>
            <w:pPr>
              <w:pStyle w:val="Compact"/>
            </w:pPr>
            <w:r>
              <w:t xml:space="preserve">Case management records</w:t>
            </w:r>
          </w:p>
        </w:tc>
        <w:tc>
          <w:tcPr/>
          <w:p>
            <w:pPr>
              <w:pStyle w:val="Compact"/>
            </w:pPr>
            <w:r>
              <w:t xml:space="preserve">Strong or bounded staleness depending on workflow</w:t>
            </w:r>
          </w:p>
        </w:tc>
        <w:tc>
          <w:tcPr/>
          <w:p>
            <w:pPr>
              <w:pStyle w:val="Compact"/>
            </w:pPr>
            <w:r>
              <w:t xml:space="preserve">LEAN intra-region, FAT for DR</w:t>
            </w:r>
          </w:p>
        </w:tc>
      </w:tr>
      <w:tr>
        <w:tc>
          <w:tcPr/>
          <w:p>
            <w:pPr>
              <w:pStyle w:val="Compact"/>
            </w:pPr>
            <w:r>
              <w:t xml:space="preserve">Benefits eligibility</w:t>
            </w:r>
          </w:p>
        </w:tc>
        <w:tc>
          <w:tcPr/>
          <w:p>
            <w:pPr>
              <w:pStyle w:val="Compact"/>
            </w:pPr>
            <w:r>
              <w:t xml:space="preserve">Strong at point of determination; cacheable for display</w:t>
            </w:r>
          </w:p>
        </w:tc>
        <w:tc>
          <w:tcPr/>
          <w:p>
            <w:pPr>
              <w:pStyle w:val="Compact"/>
            </w:pPr>
            <w:r>
              <w:t xml:space="preserve">LEAN for writes, bounded staleness reads</w:t>
            </w:r>
          </w:p>
        </w:tc>
      </w:tr>
      <w:tr>
        <w:tc>
          <w:tcPr/>
          <w:p>
            <w:pPr>
              <w:pStyle w:val="Compact"/>
            </w:pPr>
            <w:r>
              <w:t xml:space="preserve">Analytics and reporting</w:t>
            </w:r>
          </w:p>
        </w:tc>
        <w:tc>
          <w:tcPr/>
          <w:p>
            <w:pPr>
              <w:pStyle w:val="Compact"/>
            </w:pPr>
            <w:r>
              <w:t xml:space="preserve">Eventual — hours of lag acceptable</w:t>
            </w:r>
          </w:p>
        </w:tc>
        <w:tc>
          <w:tcPr/>
          <w:p>
            <w:pPr>
              <w:pStyle w:val="Compact"/>
            </w:pPr>
            <w:r>
              <w:t xml:space="preserve">FAT, async from primary</w:t>
            </w:r>
          </w:p>
        </w:tc>
      </w:tr>
      <w:tr>
        <w:tc>
          <w:tcPr/>
          <w:p>
            <w:pPr>
              <w:pStyle w:val="Compact"/>
            </w:pPr>
            <w:r>
              <w:t xml:space="preserve">Audit logs</w:t>
            </w:r>
          </w:p>
        </w:tc>
        <w:tc>
          <w:tcPr/>
          <w:p>
            <w:pPr>
              <w:pStyle w:val="Compact"/>
            </w:pPr>
            <w:r>
              <w:t xml:space="preserve">Append-only, CRDT merge acceptable</w:t>
            </w:r>
          </w:p>
        </w:tc>
        <w:tc>
          <w:tcPr/>
          <w:p>
            <w:pPr>
              <w:pStyle w:val="Compact"/>
            </w:pPr>
            <w:r>
              <w:t xml:space="preserve">FAT, geo-distributed</w:t>
            </w:r>
          </w:p>
        </w:tc>
      </w:tr>
      <w:tr>
        <w:tc>
          <w:tcPr/>
          <w:p>
            <w:pPr>
              <w:pStyle w:val="Compact"/>
            </w:pPr>
            <w:r>
              <w:t xml:space="preserve">Configuration management inventory</w:t>
            </w:r>
          </w:p>
        </w:tc>
        <w:tc>
          <w:tcPr/>
          <w:p>
            <w:pPr>
              <w:pStyle w:val="Compact"/>
            </w:pPr>
            <w:r>
              <w:t xml:space="preserve">Bounded staleness</w:t>
            </w:r>
          </w:p>
        </w:tc>
        <w:tc>
          <w:tcPr/>
          <w:p>
            <w:pPr>
              <w:pStyle w:val="Compact"/>
            </w:pPr>
            <w:r>
              <w:t xml:space="preserve">FAT, async replication</w:t>
            </w:r>
          </w:p>
        </w:tc>
      </w:tr>
      <w:tr>
        <w:tc>
          <w:tcPr/>
          <w:p>
            <w:pPr>
              <w:pStyle w:val="Compact"/>
            </w:pPr>
            <w:r>
              <w:t xml:space="preserve">Telemetry and monitoring</w:t>
            </w:r>
          </w:p>
        </w:tc>
        <w:tc>
          <w:tcPr/>
          <w:p>
            <w:pPr>
              <w:pStyle w:val="Compact"/>
            </w:pPr>
            <w:r>
              <w:t xml:space="preserve">Eventual</w:t>
            </w:r>
          </w:p>
        </w:tc>
        <w:tc>
          <w:tcPr/>
          <w:p>
            <w:pPr>
              <w:pStyle w:val="Compact"/>
            </w:pPr>
            <w:r>
              <w:t xml:space="preserve">FAT, bulk</w:t>
            </w:r>
          </w:p>
        </w:tc>
      </w:tr>
    </w:tbl>
    <w:bookmarkEnd w:id="46"/>
    <w:bookmarkStart w:id="47" w:name="the-ssot-consequence"/>
    <w:p>
      <w:pPr>
        <w:pStyle w:val="Heading2"/>
      </w:pPr>
      <w:r>
        <w:t xml:space="preserve">6.4 The SSOT Consequence</w:t>
      </w:r>
    </w:p>
    <w:p>
      <w:pPr>
        <w:pStyle w:val="FirstParagraph"/>
      </w:pPr>
      <w:r>
        <w:t xml:space="preserve">When the logical centralization principle is applied — one canonical source per fact — the consistency class of that source propagates through the architecture.</w:t>
      </w:r>
    </w:p>
    <w:p>
      <w:pPr>
        <w:pStyle w:val="BodyText"/>
      </w:pPr>
      <w:r>
        <w:t xml:space="preserve">An HR system that is the authoritative source for employee records must provide</w:t>
      </w:r>
      <w:r>
        <w:t xml:space="preserve"> </w:t>
      </w:r>
      <w:r>
        <w:rPr>
          <w:b/>
          <w:bCs/>
        </w:rPr>
        <w:t xml:space="preserve">strong consistency</w:t>
      </w:r>
      <w:r>
        <w:t xml:space="preserve"> </w:t>
      </w:r>
      <w:r>
        <w:t xml:space="preserve">for any operation that depends on the current employment record: access grants, system logins, benefits calculations, approval routing. A stale read of an employment record could authorize access for a separated employee.</w:t>
      </w:r>
    </w:p>
    <w:p>
      <w:pPr>
        <w:pStyle w:val="BodyText"/>
      </w:pPr>
      <w:r>
        <w:t xml:space="preserve">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pPr>
        <w:pStyle w:val="BodyText"/>
      </w:pPr>
      <w:r>
        <w:t xml:space="preserve">This is the</w:t>
      </w:r>
      <w:r>
        <w:t xml:space="preserve"> </w:t>
      </w:r>
      <w:r>
        <w:rPr>
          <w:b/>
          <w:bCs/>
        </w:rPr>
        <w:t xml:space="preserve">SSOT data architecture</w:t>
      </w:r>
      <w:r>
        <w:t xml:space="preserve">: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bookmarkEnd w:id="47"/>
    <w:bookmarkEnd w:id="48"/>
    <w:bookmarkStart w:id="51" w:name="X1f49b768f482b996475d9c4b199be1f251e60a2"/>
    <w:p>
      <w:pPr>
        <w:pStyle w:val="Heading1"/>
      </w:pPr>
      <w:r>
        <w:t xml:space="preserve">7. Application-Aware Overlay — Transport Governance</w:t>
      </w:r>
    </w:p>
    <w:p>
      <w:pPr>
        <w:pStyle w:val="FirstParagraph"/>
      </w:pPr>
      <w:r>
        <w:t xml:space="preserve">Parts 5 and 6 of this series addressed SD-WAN overlay architecture for network traffic and application layer protocols. The same overlay principles apply to database replication traffic, extending the traffic classification described earlier in this document.</w:t>
      </w:r>
    </w:p>
    <w:bookmarkStart w:id="49" w:name="X384322f0eb2fa7313c04caf9958f01de5eeda42"/>
    <w:p>
      <w:pPr>
        <w:pStyle w:val="Heading2"/>
      </w:pPr>
      <w:r>
        <w:t xml:space="preserve">7.1 Database Traffic as a First-Class Overlay Citizen</w:t>
      </w:r>
    </w:p>
    <w:p>
      <w:pPr>
        <w:pStyle w:val="FirstParagraph"/>
      </w:pPr>
      <w:r>
        <w:t xml:space="preserve">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pPr>
        <w:pStyle w:val="Compact"/>
        <w:numPr>
          <w:ilvl w:val="0"/>
          <w:numId w:val="1006"/>
        </w:numPr>
      </w:pPr>
      <w:r>
        <w:t xml:space="preserve">Route the replica stream over the bulk-optimized path (high throughput, tolerant of higher latency)</w:t>
      </w:r>
    </w:p>
    <w:p>
      <w:pPr>
        <w:pStyle w:val="Compact"/>
        <w:numPr>
          <w:ilvl w:val="0"/>
          <w:numId w:val="1006"/>
        </w:numPr>
      </w:pPr>
      <w:r>
        <w:t xml:space="preserve">Route the consensus heartbeat traffic over the low-latency path (strict priority, QoS marking)</w:t>
      </w:r>
    </w:p>
    <w:p>
      <w:pPr>
        <w:pStyle w:val="Compact"/>
        <w:numPr>
          <w:ilvl w:val="0"/>
          <w:numId w:val="1006"/>
        </w:numPr>
      </w:pPr>
      <w:r>
        <w:t xml:space="preserve">Apply separate QoS policies to each stream even though both originate from the same database cluster</w:t>
      </w:r>
    </w:p>
    <w:p>
      <w:pPr>
        <w:pStyle w:val="FirstParagraph"/>
      </w:pPr>
      <w:r>
        <w:t xml:space="preserve">This is application-aware networking applied to the database tier: the network knows what the traffic is and treats it accordingly, rather than treating all TCP as equivalent.</w:t>
      </w:r>
    </w:p>
    <w:p>
      <w:pPr>
        <w:pStyle w:val="BlockText"/>
      </w:pPr>
      <w:r>
        <w:rPr>
          <w:b/>
          <w:bCs/>
        </w:rPr>
        <w:t xml:space="preserve">Closure Necessity — SC-8 on replication paths.</w:t>
      </w:r>
      <w:r>
        <w:t xml:space="preserve"> </w:t>
      </w:r>
      <w:r>
        <w:t xml:space="preserve">SC-8 requires confidentiality and integrity for transmitted information — all of it, not only the flows an application chose to protect. Client connections to the database ride TLS 1.2+. Replication is a different transmission surface: consensus heartbeats, log-shipping streams, snapshot transfers, and monitoring flows cross inter-site paths — including DIA underlays — with whatever protection each protocol happens to implement, which varies by engine, version, and configuration. The only mechanism that encrypts</w:t>
      </w:r>
      <w:r>
        <w:t xml:space="preserve"> </w:t>
      </w:r>
      <w:r>
        <w:rPr>
          <w:i/>
          <w:iCs/>
        </w:rPr>
        <w:t xml:space="preserve">all</w:t>
      </w:r>
      <w:r>
        <w:t xml:space="preserve"> </w:t>
      </w:r>
      <w:r>
        <w:t xml:space="preserve">replication traffic on an inter-site path regardless of application behavior is the SD-WAN IPsec overlay. Per-protocol TLS settings can harden individual streams; they cannot make a claim about the path. SC-8 on the replication path closes at the network layer or it does not close.</w:t>
      </w:r>
    </w:p>
    <w:bookmarkEnd w:id="49"/>
    <w:bookmarkStart w:id="50" w:name="overlay-vs.-underlay-consistency"/>
    <w:p>
      <w:pPr>
        <w:pStyle w:val="Heading2"/>
      </w:pPr>
      <w:r>
        <w:t xml:space="preserve">7.2 Overlay vs. Underlay Consistency</w:t>
      </w:r>
    </w:p>
    <w:p>
      <w:pPr>
        <w:pStyle w:val="FirstParagraph"/>
      </w:pPr>
      <w:r>
        <w:t xml:space="preserve">A subtle but important design consideration for database clusters that span SD-WAN sites: the overlay tunnel path used by the database replication stream must be consistent with the overlay path used by the client connections to that database.</w:t>
      </w:r>
    </w:p>
    <w:p>
      <w:pPr>
        <w:pStyle w:val="BodyText"/>
      </w:pPr>
      <w:r>
        <w:t xml:space="preserve">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pPr>
        <w:pStyle w:val="BodyText"/>
      </w:pPr>
      <w:r>
        <w:t xml:space="preserve">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pPr>
        <w:pStyle w:val="BodyText"/>
      </w:pPr>
      <w:r>
        <w:t xml:space="preserve">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bookmarkEnd w:id="50"/>
    <w:bookmarkEnd w:id="51"/>
    <w:bookmarkStart w:id="57" w:name="federal-data-architecture-principles"/>
    <w:p>
      <w:pPr>
        <w:pStyle w:val="Heading1"/>
      </w:pPr>
      <w:r>
        <w:t xml:space="preserve">8. Federal Data Architecture Principles</w:t>
      </w:r>
    </w:p>
    <w:bookmarkStart w:id="52" w:name="principle-1-one-truth-many-projections"/>
    <w:p>
      <w:pPr>
        <w:pStyle w:val="Heading2"/>
      </w:pPr>
      <w:r>
        <w:t xml:space="preserve">8.1 Principle 1 — One Truth, Many Projections</w:t>
      </w:r>
    </w:p>
    <w:p>
      <w:pPr>
        <w:pStyle w:val="FirstParagraph"/>
      </w:pPr>
      <w:r>
        <w:t xml:space="preserve">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pPr>
        <w:pStyle w:val="Compact"/>
        <w:numPr>
          <w:ilvl w:val="0"/>
          <w:numId w:val="1007"/>
        </w:numPr>
      </w:pPr>
      <w:r>
        <w:t xml:space="preserve">Write authorization: only designated systems have write access to the canonical record</w:t>
      </w:r>
    </w:p>
    <w:p>
      <w:pPr>
        <w:pStyle w:val="Compact"/>
        <w:numPr>
          <w:ilvl w:val="0"/>
          <w:numId w:val="1007"/>
        </w:numPr>
      </w:pPr>
      <w:r>
        <w:t xml:space="preserve">Schema versioning: schema changes to the canonical source are versioned and communicated to consumer projections</w:t>
      </w:r>
    </w:p>
    <w:p>
      <w:pPr>
        <w:pStyle w:val="Compact"/>
        <w:numPr>
          <w:ilvl w:val="0"/>
          <w:numId w:val="1007"/>
        </w:numPr>
      </w:pPr>
      <w:r>
        <w:t xml:space="preserve">Lineage tracking: the derivation path from canonical source to each projection is documented and monitored</w:t>
      </w:r>
    </w:p>
    <w:bookmarkEnd w:id="52"/>
    <w:bookmarkStart w:id="53" w:name="X4b01a6aa66421a5a57f0bd0726276f01e5ffa37"/>
    <w:p>
      <w:pPr>
        <w:pStyle w:val="Heading2"/>
      </w:pPr>
      <w:r>
        <w:t xml:space="preserve">8.2 Principle 2 — Physics Constrains, Token Liberates</w:t>
      </w:r>
    </w:p>
    <w:p>
      <w:pPr>
        <w:pStyle w:val="FirstParagraph"/>
      </w:pPr>
      <w:r>
        <w:t xml:space="preserve">Network physics constrains where databases can be placed relative to their primary consumers. Token-based security removes the constraint of network perimeter as the access control boundary. The architectural consequence is:</w:t>
      </w:r>
    </w:p>
    <w:p>
      <w:pPr>
        <w:pStyle w:val="Compact"/>
        <w:numPr>
          <w:ilvl w:val="0"/>
          <w:numId w:val="1008"/>
        </w:numPr>
      </w:pPr>
      <w:r>
        <w:t xml:space="preserve">Place databases at the regional center of gravity for their primary write consumers (close to the physics floor for the majority of writes)</w:t>
      </w:r>
    </w:p>
    <w:p>
      <w:pPr>
        <w:pStyle w:val="Compact"/>
        <w:numPr>
          <w:ilvl w:val="0"/>
          <w:numId w:val="1008"/>
        </w:numPr>
      </w:pPr>
      <w:r>
        <w:t xml:space="preserve">Use token-based authentication to serve consumers that are geographically distant, without building separate instances for each network zone</w:t>
      </w:r>
    </w:p>
    <w:p>
      <w:pPr>
        <w:pStyle w:val="Compact"/>
        <w:numPr>
          <w:ilvl w:val="0"/>
          <w:numId w:val="1008"/>
        </w:numPr>
      </w:pPr>
      <w:r>
        <w:t xml:space="preserve">Use async replication and bounded-staleness reads to serve cross-region readers at the consistency class appropriate to their use case</w:t>
      </w:r>
    </w:p>
    <w:bookmarkEnd w:id="53"/>
    <w:bookmarkStart w:id="54" w:name="principle-3-consistency-class-alignment"/>
    <w:p>
      <w:pPr>
        <w:pStyle w:val="Heading2"/>
      </w:pPr>
      <w:r>
        <w:t xml:space="preserve">8.3 Principle 3 — Consistency Class Alignment</w:t>
      </w:r>
    </w:p>
    <w:p>
      <w:pPr>
        <w:pStyle w:val="FirstParagraph"/>
      </w:pPr>
      <w:r>
        <w:t xml:space="preserve">Every database access pattern is explicitly classified by its consistency requirement. The classification drives the infrastructure choice:</w:t>
      </w:r>
    </w:p>
    <w:p>
      <w:pPr>
        <w:pStyle w:val="Compact"/>
        <w:numPr>
          <w:ilvl w:val="0"/>
          <w:numId w:val="1009"/>
        </w:numPr>
      </w:pPr>
      <w:r>
        <w:t xml:space="preserve">Strong consistency → intra-region placement → lean network transport</w:t>
      </w:r>
    </w:p>
    <w:p>
      <w:pPr>
        <w:pStyle w:val="Compact"/>
        <w:numPr>
          <w:ilvl w:val="0"/>
          <w:numId w:val="1009"/>
        </w:numPr>
      </w:pPr>
      <w:r>
        <w:t xml:space="preserve">Bounded staleness → async replica → fat network transport</w:t>
      </w:r>
    </w:p>
    <w:p>
      <w:pPr>
        <w:pStyle w:val="Compact"/>
        <w:numPr>
          <w:ilvl w:val="0"/>
          <w:numId w:val="1009"/>
        </w:numPr>
      </w:pPr>
      <w:r>
        <w:t xml:space="preserve">Eventual → analytics replica → bulk transport</w:t>
      </w:r>
    </w:p>
    <w:p>
      <w:pPr>
        <w:pStyle w:val="FirstParagraph"/>
      </w:pPr>
      <w:r>
        <w:t xml:space="preserve">Operating without explicit consistency class assignment produces an implicit default of</w:t>
      </w:r>
      <w:r>
        <w:t xml:space="preserve"> </w:t>
      </w:r>
      <w:r>
        <w:t xml:space="preserve">“strong consistency everywhere,”</w:t>
      </w:r>
      <w:r>
        <w:t xml:space="preserve"> </w:t>
      </w:r>
      <w:r>
        <w:t xml:space="preserve">which is the most expensive possible choice and often the source of mysterious latency in distributed federal systems.</w:t>
      </w:r>
    </w:p>
    <w:bookmarkEnd w:id="54"/>
    <w:bookmarkStart w:id="55" w:name="X069ff3e4aead2e470a6c349a390ff210177132c"/>
    <w:p>
      <w:pPr>
        <w:pStyle w:val="Heading2"/>
      </w:pPr>
      <w:r>
        <w:t xml:space="preserve">8.4 Principle 4 — Separate the Lean and the Fat</w:t>
      </w:r>
    </w:p>
    <w:p>
      <w:pPr>
        <w:pStyle w:val="FirstParagraph"/>
      </w:pPr>
      <w:r>
        <w:t xml:space="preserve">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pPr>
        <w:pStyle w:val="BodyText"/>
      </w:pPr>
      <w:r>
        <w:t xml:space="preserve">SD-WAN traffic classification, DSCP marking, and dedicated paths for lean vs. fat database traffic are not gold-plating. They are the minimum viable network design for a distributed database cluster.</w:t>
      </w:r>
    </w:p>
    <w:bookmarkEnd w:id="55"/>
    <w:bookmarkStart w:id="56" w:name="X9975fb4c9bfd91a3c59fb43ba5855d7424eea60"/>
    <w:p>
      <w:pPr>
        <w:pStyle w:val="Heading2"/>
      </w:pPr>
      <w:r>
        <w:t xml:space="preserve">8.5 Principle 5 — Zero-Trust Posture for Database Access</w:t>
      </w:r>
    </w:p>
    <w:p>
      <w:pPr>
        <w:pStyle w:val="FirstParagraph"/>
      </w:pPr>
      <w:r>
        <w:t xml:space="preserve">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pPr>
        <w:pStyle w:val="BodyText"/>
      </w:pPr>
      <w:r>
        <w:t xml:space="preserve">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bookmarkEnd w:id="56"/>
    <w:bookmarkEnd w:id="57"/>
    <w:bookmarkStart w:id="58" w:name="nist-control-closure"/>
    <w:p>
      <w:pPr>
        <w:pStyle w:val="Heading1"/>
      </w:pPr>
      <w:r>
        <w:t xml:space="preserve">9. NIST Control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Mechanism</w:t>
            </w:r>
          </w:p>
        </w:tc>
      </w:tr>
      <w:tr>
        <w:tc>
          <w:tcPr/>
          <w:p>
            <w:pPr>
              <w:pStyle w:val="Compact"/>
            </w:pPr>
            <w:r>
              <w:t xml:space="preserve">SC-28</w:t>
            </w:r>
          </w:p>
        </w:tc>
        <w:tc>
          <w:tcPr/>
          <w:p>
            <w:pPr>
              <w:pStyle w:val="Compact"/>
            </w:pPr>
            <w:r>
              <w:t xml:space="preserve">Protection of Information at Rest</w:t>
            </w:r>
          </w:p>
        </w:tc>
        <w:tc>
          <w:tcPr/>
          <w:p>
            <w:pPr>
              <w:pStyle w:val="Compact"/>
            </w:pPr>
            <w:r>
              <w:t xml:space="preserve">Transparent Data Encryption (TDE)</w:t>
            </w:r>
          </w:p>
        </w:tc>
        <w:tc>
          <w:tcPr/>
          <w:p>
            <w:pPr>
              <w:pStyle w:val="Compact"/>
            </w:pPr>
            <w:r>
              <w:t xml:space="preserve">SQL Server TDE encrypts data files at rest with AES-256</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Arc-managed certificate + SD-WAN IPsec overlay</w:t>
            </w:r>
          </w:p>
        </w:tc>
        <w:tc>
          <w:tcPr/>
          <w:p>
            <w:pPr>
              <w:pStyle w:val="Compact"/>
            </w:pPr>
            <w:r>
              <w:t xml:space="preserve">SQL client connections over TLS 1.2+ with agency-PKI certificate; inter-site replication paths encrypted by the SD-WAN IPsec overlay regardless of per-protocol behavior</w:t>
            </w:r>
          </w:p>
        </w:tc>
      </w:tr>
      <w:tr>
        <w:tc>
          <w:tcPr/>
          <w:p>
            <w:pPr>
              <w:pStyle w:val="Compact"/>
            </w:pPr>
            <w: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Bulk traffic cannot flood lean lane; heartbeat protection</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SSOT canonical record lifecycle</w:t>
            </w:r>
          </w:p>
        </w:tc>
        <w:tc>
          <w:tcPr/>
          <w:p>
            <w:pPr>
              <w:pStyle w:val="Compact"/>
            </w:pPr>
            <w:r>
              <w:t xml:space="preserve">Canonical source has defined retention; derived stores follow</w:t>
            </w:r>
          </w:p>
        </w:tc>
      </w:tr>
      <w:tr>
        <w:tc>
          <w:tcPr/>
          <w:p>
            <w:pPr>
              <w:pStyle w:val="Compact"/>
            </w:pPr>
            <w: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Entra tokens scope cross-system database access explicitly</w:t>
            </w:r>
          </w:p>
        </w:tc>
      </w:tr>
      <w:tr>
        <w:tc>
          <w:tcPr/>
          <w:p>
            <w:pPr>
              <w:pStyle w:val="Compact"/>
            </w:pPr>
            <w:r>
              <w:t xml:space="preserve">SA-8</w:t>
            </w:r>
          </w:p>
        </w:tc>
        <w:tc>
          <w:tcPr/>
          <w:p>
            <w:pPr>
              <w:pStyle w:val="Compact"/>
            </w:pPr>
            <w:r>
              <w:t xml:space="preserve">Security and Privacy Engineering Principles</w:t>
            </w:r>
          </w:p>
        </w:tc>
        <w:tc>
          <w:tcPr/>
          <w:p>
            <w:pPr>
              <w:pStyle w:val="Compact"/>
            </w:pPr>
            <w:r>
              <w:t xml:space="preserve">Consistency class alignment</w:t>
            </w:r>
          </w:p>
        </w:tc>
        <w:tc>
          <w:tcPr/>
          <w:p>
            <w:pPr>
              <w:pStyle w:val="Compact"/>
            </w:pPr>
            <w:r>
              <w:t xml:space="preserve">Physics-aligned consistency design eliminates implicit strong</w:t>
            </w:r>
          </w:p>
        </w:tc>
      </w:tr>
      <w:tr>
        <w:tc>
          <w:tcPr/>
          <w:p>
            <w:pPr>
              <w:pStyle w:val="Compact"/>
            </w:pPr>
            <w:r>
              <w:t xml:space="preserve">AU-9</w:t>
            </w:r>
          </w:p>
        </w:tc>
        <w:tc>
          <w:tcPr/>
          <w:p>
            <w:pPr>
              <w:pStyle w:val="Compact"/>
            </w:pPr>
            <w:r>
              <w:t xml:space="preserve">Protection of Audit Information</w:t>
            </w:r>
          </w:p>
        </w:tc>
        <w:tc>
          <w:tcPr/>
          <w:p>
            <w:pPr>
              <w:pStyle w:val="Compact"/>
            </w:pPr>
            <w:r>
              <w:t xml:space="preserve">Append-only audit log, geo-replicated</w:t>
            </w:r>
          </w:p>
        </w:tc>
        <w:tc>
          <w:tcPr/>
          <w:p>
            <w:pPr>
              <w:pStyle w:val="Compact"/>
            </w:pPr>
            <w:r>
              <w:t xml:space="preserve">Audit logs replicated asynchronously to immutable second region</w:t>
            </w:r>
          </w:p>
        </w:tc>
      </w:tr>
      <w:tr>
        <w:tc>
          <w:tcPr/>
          <w:p>
            <w:pPr>
              <w:pStyle w:val="Compact"/>
            </w:pPr>
            <w:r>
              <w:t xml:space="preserve">CP-9</w:t>
            </w:r>
          </w:p>
        </w:tc>
        <w:tc>
          <w:tcPr/>
          <w:p>
            <w:pPr>
              <w:pStyle w:val="Compact"/>
            </w:pPr>
            <w:r>
              <w:t xml:space="preserve">System Backup</w:t>
            </w:r>
          </w:p>
        </w:tc>
        <w:tc>
          <w:tcPr/>
          <w:p>
            <w:pPr>
              <w:pStyle w:val="Compact"/>
            </w:pPr>
            <w:r>
              <w:t xml:space="preserve">Async DR replica + backup regime</w:t>
            </w:r>
          </w:p>
        </w:tc>
        <w:tc>
          <w:tcPr/>
          <w:p>
            <w:pPr>
              <w:pStyle w:val="Compact"/>
            </w:pPr>
            <w:r>
              <w:t xml:space="preserve">Async replication to DR region, periodic backup to immutable store</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DR replica promotion runbook</w:t>
            </w:r>
          </w:p>
        </w:tc>
        <w:tc>
          <w:tcPr/>
          <w:p>
            <w:pPr>
              <w:pStyle w:val="Compact"/>
            </w:pPr>
            <w:r>
              <w:t xml:space="preserve">Documented failover procedure with RTO/RPO validated by test</w:t>
            </w:r>
          </w:p>
        </w:tc>
      </w:tr>
    </w:tbl>
    <w:bookmarkEnd w:id="58"/>
    <w:bookmarkStart w:id="59" w:name="summary"/>
    <w:p>
      <w:pPr>
        <w:pStyle w:val="Heading1"/>
      </w:pPr>
      <w:r>
        <w:t xml:space="preserve">10. Summary</w:t>
      </w:r>
    </w:p>
    <w:p>
      <w:pPr>
        <w:pStyle w:val="FirstParagraph"/>
      </w:pPr>
      <w:r>
        <w:t xml:space="preserve">The database consolidation and network physics framework establishes the architectural foundation for federal database infrastructure aligned with zero-trust, FedRAMP 20x, and application-aware networking principles.</w:t>
      </w:r>
    </w:p>
    <w:p>
      <w:pPr>
        <w:pStyle w:val="BodyText"/>
      </w:pPr>
      <w:r>
        <w:t xml:space="preserve">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pPr>
        <w:pStyle w:val="BodyText"/>
      </w:pPr>
      <w:r>
        <w:t xml:space="preserve">SD-WAN addresses the addressable gap between the physics floor and observed latency, and separates lean database traffic (consensus, quorum) from fat database traffic (backups, async replication) so they cannot compete for the same network path.</w:t>
      </w:r>
    </w:p>
    <w:p>
      <w:pPr>
        <w:pStyle w:val="BodyText"/>
      </w:pPr>
      <w:r>
        <w:t xml:space="preserve">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pPr>
        <w:pStyle w:val="BodyText"/>
      </w:pPr>
      <w:r>
        <w:t xml:space="preserve">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pPr>
        <w:pStyle w:val="BodyText"/>
      </w:pPr>
      <w:r>
        <w:t xml:space="preserve">Together with the SQL Server authentication modernization (Parts 7 and 8) and the network controls established in Parts 1 through 6, this architectural framework closes the FedRAMP 20x gap in the database and data management layer.</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09 — Federal Application-Aware Networking: Database Consolidation and Network Physics</dc:title>
  <dc:creator>Federal Cloud Services</dc:creator>
  <cp:keywords/>
  <dcterms:created xsi:type="dcterms:W3CDTF">2026-07-06T11:31:37Z</dcterms:created>
  <dcterms:modified xsi:type="dcterms:W3CDTF">2026-07-06T11:31:37Z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SSOT Architecture, Propagation Delay, SD-WAN Traffic Classification, and Token-Based Security for Federal Database Infrastructure</vt:lpwstr>
  </property>
  <property fmtid="{D5CDD505-2E9C-101B-9397-08002B2CF9AE}" pid="13" name="toc-title">
    <vt:lpwstr>Table of contents</vt:lpwstr>
  </property>
</Properties>
</file>