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uiao-canon-specification"/>
    <w:p>
      <w:pPr>
        <w:pStyle w:val="Heading1"/>
      </w:pPr>
      <w:r>
        <w:t xml:space="preserve">UIAO Canon Specification</w:t>
      </w:r>
    </w:p>
    <w:p>
      <w:pPr>
        <w:pStyle w:val="FirstParagraph"/>
      </w:pPr>
      <w:r>
        <w:rPr>
          <w:iCs/>
          <w:i/>
        </w:rPr>
        <w:t xml:space="preserve">Version 1.0 (2026-03)</w:t>
      </w:r>
    </w:p>
    <w:p>
      <w:pPr>
        <w:pStyle w:val="BodyText"/>
      </w:pPr>
      <w:r>
        <w:t xml:space="preserve">Classification: CUI/FOUO or as appropriate</w:t>
      </w:r>
    </w:p>
    <w:p>
      <w:r>
        <w:pict>
          <v:rect style="width:0;height:1.5pt" o:hralign="center" o:hrstd="t" o:hr="t"/>
        </w:pict>
      </w:r>
    </w:p>
    <w:bookmarkStart w:id="20" w:name="audience-guide"/>
    <w:p>
      <w:pPr>
        <w:pStyle w:val="Heading2"/>
      </w:pPr>
      <w:r>
        <w:t xml:space="preserve">Audience Guide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</w:tbl>
    <w:p>
      <w:pPr>
        <w:pStyle w:val="BodyText"/>
      </w:pPr>
      <w:r>
        <w:rPr>
          <w:bCs/>
          <w:b/>
        </w:rPr>
        <w:t xml:space="preserve">CIO / CISO / Executive</w:t>
      </w:r>
      <w:r>
        <w:t xml:space="preserve"> </w:t>
      </w:r>
      <w:r>
        <w:t xml:space="preserve">| 1-5 | | Full business case |</w:t>
      </w:r>
    </w:p>
    <w:p>
      <w:pPr>
        <w:pStyle w:val="BodyText"/>
      </w:pPr>
      <w:r>
        <w:rPr>
          <w:bCs/>
          <w:b/>
        </w:rPr>
        <w:t xml:space="preserve">Enterprise Architect</w:t>
      </w:r>
      <w:r>
        <w:t xml:space="preserve"> </w:t>
      </w:r>
      <w:r>
        <w:t xml:space="preserve">| 1-8 | A, C, E, F | Mandates, canon, Source of Authority, core object architectures |</w:t>
      </w:r>
    </w:p>
    <w:p>
      <w:pPr>
        <w:pStyle w:val="BodyText"/>
      </w:pPr>
      <w:r>
        <w:rPr>
          <w:bCs/>
          <w:b/>
        </w:rPr>
        <w:t xml:space="preserve">Implementation Engineer</w:t>
      </w:r>
      <w:r>
        <w:t xml:space="preserve"> </w:t>
      </w:r>
      <w:r>
        <w:t xml:space="preserve">| 7-11 | G, H, J | Layered architecture, playbooks, pilot plan |</w:t>
      </w:r>
    </w:p>
    <w:p>
      <w:pPr>
        <w:pStyle w:val="BodyText"/>
      </w:pPr>
      <w:r>
        <w:rPr>
          <w:bCs/>
          <w:b/>
        </w:rPr>
        <w:t xml:space="preserve">Program Manager</w:t>
      </w:r>
      <w:r>
        <w:t xml:space="preserve"> </w:t>
      </w:r>
      <w:r>
        <w:t xml:space="preserve">| 1-5, 11-12 | H, I | Roadmap, governance |</w:t>
      </w:r>
    </w:p>
    <w:p>
      <w:pPr>
        <w:pStyle w:val="BodyText"/>
      </w:pPr>
      <w:r>
        <w:rPr>
          <w:bCs/>
          <w:b/>
        </w:rPr>
        <w:t xml:space="preserve">Compliance / Legal</w:t>
      </w:r>
      <w:r>
        <w:t xml:space="preserve"> </w:t>
      </w:r>
      <w:r>
        <w:t xml:space="preserve">| 3-4 | C | Mandate crosswalk |</w:t>
      </w:r>
    </w:p>
    <w:p>
      <w:r>
        <w:pict>
          <v:rect style="width:0;height:1.5pt" o:hralign="center" o:hrstd="t" o:hr="t"/>
        </w:pict>
      </w:r>
    </w:p>
    <w:bookmarkEnd w:id="20"/>
    <w:bookmarkStart w:id="21" w:name="core-thesis"/>
    <w:p>
      <w:pPr>
        <w:pStyle w:val="Heading2"/>
      </w:pPr>
      <w:r>
        <w:t xml:space="preserve">Core Thesis</w:t>
      </w:r>
    </w:p>
    <w:p>
      <w:pPr>
        <w:pStyle w:val="FirstParagraph"/>
      </w:pPr>
      <w:r>
        <w:t xml:space="preserve">The federal government is structurally frozen at the Client/Server L2-L4 perimeter era. Identity-forward modernization where identity becomes the root namespace and primary security perimeter is the only path forward.</w:t>
      </w:r>
    </w:p>
    <w:p>
      <w:r>
        <w:pict>
          <v:rect style="width:0;height:1.5pt" o:hralign="center" o:hrstd="t" o:hr="t"/>
        </w:pict>
      </w:r>
    </w:p>
    <w:bookmarkEnd w:id="21"/>
    <w:bookmarkStart w:id="22" w:name="why-incremental-patching-fails"/>
    <w:p>
      <w:pPr>
        <w:pStyle w:val="Heading2"/>
      </w:pPr>
      <w:r>
        <w:t xml:space="preserve">Why Incremental Patching Fails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State</w:t>
            </w:r>
          </w:p>
        </w:tc>
      </w:tr>
    </w:tbl>
    <w:p>
      <w:pPr>
        <w:pStyle w:val="BodyText"/>
      </w:pPr>
      <w:r>
        <w:t xml:space="preserve">inverted-identity | Identity as gate (authenticate once) | Identity as continuous signal |</w:t>
      </w:r>
    </w:p>
    <w:p>
      <w:pPr>
        <w:pStyle w:val="BodyText"/>
      </w:pPr>
      <w:r>
        <w:t xml:space="preserve">backwards-trust | Inside equals trusted | Trust nothing, verify everything |</w:t>
      </w:r>
    </w:p>
    <w:p>
      <w:pPr>
        <w:pStyle w:val="BodyText"/>
      </w:pPr>
      <w:r>
        <w:t xml:space="preserve">disconnected-telemetry | Siloed logs | Conversation-level correlation across all signals |</w:t>
      </w:r>
    </w:p>
    <w:p>
      <w:pPr>
        <w:pStyle w:val="BodyText"/>
      </w:pPr>
      <w:r>
        <w:t xml:space="preserve">manual-governance | Human review cycles | Automated continuous enforcement at machine speed |</w:t>
      </w:r>
    </w:p>
    <w:p>
      <w:pPr>
        <w:pStyle w:val="BodyText"/>
      </w:pPr>
      <w:r>
        <w:t xml:space="preserve">no-data-control-plane | Data protected by perimeter | Data-level controls that travel with data |</w:t>
      </w:r>
    </w:p>
    <w:p>
      <w:r>
        <w:pict>
          <v:rect style="width:0;height:1.5pt" o:hralign="center" o:hrstd="t" o:hr="t"/>
        </w:pict>
      </w:r>
    </w:p>
    <w:bookmarkEnd w:id="22"/>
    <w:bookmarkStart w:id="28" w:name="the-17-point-modernization-canon"/>
    <w:p>
      <w:pPr>
        <w:pStyle w:val="Heading2"/>
      </w:pPr>
      <w:r>
        <w:t xml:space="preserve">The 17-Point Modernization Canon</w:t>
      </w:r>
    </w:p>
    <w:p>
      <w:pPr>
        <w:pStyle w:val="FirstParagraph"/>
      </w:pPr>
      <w:r>
        <w:t xml:space="preserve">Diagnostic framework and architectural spine explaining why federal IT is structurally frozen and what must change</w:t>
      </w:r>
    </w:p>
    <w:bookmarkStart w:id="26" w:name="canon-tiers"/>
    <w:p>
      <w:pPr>
        <w:pStyle w:val="Heading3"/>
      </w:pPr>
      <w:r>
        <w:t xml:space="preserve">Canon Tiers</w:t>
      </w:r>
    </w:p>
    <w:bookmarkStart w:id="23" w:name="historical-foundations"/>
    <w:p>
      <w:pPr>
        <w:pStyle w:val="Heading4"/>
      </w:pPr>
      <w:r>
        <w:t xml:space="preserve">Historical Foundations</w:t>
      </w:r>
    </w:p>
    <w:p>
      <w:pPr>
        <w:pStyle w:val="FirstParagraph"/>
      </w:pPr>
      <w:r>
        <w:t xml:space="preserve">History of compute, networking, and cybersecurity; where federal environments are frozen</w:t>
      </w:r>
    </w:p>
    <w:bookmarkEnd w:id="23"/>
    <w:bookmarkStart w:id="24" w:name="structural-constraints"/>
    <w:p>
      <w:pPr>
        <w:pStyle w:val="Heading4"/>
      </w:pPr>
      <w:r>
        <w:t xml:space="preserve">Structural Constraints</w:t>
      </w:r>
    </w:p>
    <w:p>
      <w:pPr>
        <w:pStyle w:val="FirstParagraph"/>
      </w:pPr>
      <w:r>
        <w:t xml:space="preserve">Federal freeze points, bureaucratic overlays, funding model mismatches, and L2-L4 vs L5-L7 gaps</w:t>
      </w:r>
    </w:p>
    <w:bookmarkEnd w:id="24"/>
    <w:bookmarkStart w:id="25" w:name="modern-requirements"/>
    <w:p>
      <w:pPr>
        <w:pStyle w:val="Heading4"/>
      </w:pPr>
      <w:r>
        <w:t xml:space="preserve">Modern Requirements</w:t>
      </w:r>
    </w:p>
    <w:p>
      <w:pPr>
        <w:pStyle w:val="FirstParagraph"/>
      </w:pPr>
      <w:r>
        <w:t xml:space="preserve">Telemetry and location as mandatory inputs, new control planes, source-of-truth crisis, AI for correlation, inter-agency truth fabric, data as perimeter, and outdated risk models</w:t>
      </w:r>
    </w:p>
    <w:bookmarkEnd w:id="25"/>
    <w:bookmarkEnd w:id="26"/>
    <w:bookmarkStart w:id="27" w:name="core-conditions"/>
    <w:p>
      <w:pPr>
        <w:pStyle w:val="Heading3"/>
      </w:pPr>
      <w:r>
        <w:t xml:space="preserve">Core Conditions</w:t>
      </w:r>
    </w:p>
    <w:p>
      <w:pPr>
        <w:numPr>
          <w:ilvl w:val="0"/>
          <w:numId w:val="1001"/>
        </w:numPr>
      </w:pPr>
      <w:r>
        <w:t xml:space="preserve">Visibility</w:t>
      </w:r>
    </w:p>
    <w:p>
      <w:pPr>
        <w:numPr>
          <w:ilvl w:val="0"/>
          <w:numId w:val="1001"/>
        </w:numPr>
      </w:pPr>
      <w:r>
        <w:t xml:space="preserve">Verification</w:t>
      </w:r>
    </w:p>
    <w:p>
      <w:pPr>
        <w:numPr>
          <w:ilvl w:val="0"/>
          <w:numId w:val="1001"/>
        </w:numPr>
      </w:pPr>
      <w:r>
        <w:t xml:space="preserve">Validation</w:t>
      </w:r>
    </w:p>
    <w:p>
      <w:pPr>
        <w:numPr>
          <w:ilvl w:val="0"/>
          <w:numId w:val="1001"/>
        </w:numPr>
      </w:pPr>
      <w:r>
        <w:t xml:space="preserve">Control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ource-of-authority-domains"/>
    <w:p>
      <w:pPr>
        <w:pStyle w:val="Heading2"/>
      </w:pPr>
      <w:r>
        <w:t xml:space="preserve">Source of Authority Domains</w:t>
      </w:r>
    </w:p>
    <w:p>
      <w:pPr>
        <w:pStyle w:val="FirstParagraph"/>
      </w:pPr>
      <w:r>
        <w:t xml:space="preserve">Explicit definitions of who may create, modify, and revoke data and under what conditions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System</w:t>
            </w:r>
          </w:p>
        </w:tc>
      </w:tr>
    </w:tbl>
    <w:p>
      <w:pPr>
        <w:pStyle w:val="BodyText"/>
      </w:pPr>
      <w:r>
        <w:t xml:space="preserve">human-identity | HR | Identity system |</w:t>
      </w:r>
    </w:p>
    <w:p>
      <w:pPr>
        <w:pStyle w:val="BodyText"/>
      </w:pPr>
      <w:r>
        <w:t xml:space="preserve">non-person-entities | Service owners | Identity and asset systems |</w:t>
      </w:r>
    </w:p>
    <w:p>
      <w:pPr>
        <w:pStyle w:val="BodyText"/>
      </w:pPr>
      <w:r>
        <w:t xml:space="preserve">contractor-identity | Contracting authority | Identity system |</w:t>
      </w:r>
    </w:p>
    <w:p>
      <w:pPr>
        <w:pStyle w:val="BodyText"/>
      </w:pPr>
      <w:r>
        <w:t xml:space="preserve">citizen-identity | Citizen | Federated identity providers |</w:t>
      </w:r>
    </w:p>
    <w:p>
      <w:pPr>
        <w:pStyle w:val="BodyText"/>
      </w:pPr>
      <w:r>
        <w:t xml:space="preserve">ip-addressing | Network architecture | IPAM |</w:t>
      </w:r>
    </w:p>
    <w:p>
      <w:pPr>
        <w:pStyle w:val="BodyText"/>
      </w:pPr>
      <w:r>
        <w:t xml:space="preserve">assets-configuration | System owners | CMDB |</w:t>
      </w:r>
    </w:p>
    <w:p>
      <w:pPr>
        <w:pStyle w:val="BodyText"/>
      </w:pPr>
      <w:r>
        <w:t xml:space="preserve">data-classification | Data owners | Policy engines |</w:t>
      </w:r>
    </w:p>
    <w:p>
      <w:pPr>
        <w:pStyle w:val="BodyText"/>
      </w:pPr>
      <w:r>
        <w:t xml:space="preserve">physical-location | Real property and space management | Addressing |</w:t>
      </w:r>
    </w:p>
    <w:p>
      <w:pPr>
        <w:pStyle w:val="BodyText"/>
      </w:pPr>
      <w:r>
        <w:t xml:space="preserve">partner-authority | Shared or delegated authorities | Federation |</w:t>
      </w:r>
    </w:p>
    <w:p>
      <w:pPr>
        <w:pStyle w:val="BodyText"/>
      </w:pPr>
      <w:r>
        <w:t xml:space="preserve">credential-trust | Federal PKI and trust frameworks | Certificate authorities |</w:t>
      </w:r>
    </w:p>
    <w:p>
      <w:r>
        <w:pict>
          <v:rect style="width:0;height:1.5pt" o:hralign="center" o:hrstd="t" o:hr="t"/>
        </w:pict>
      </w:r>
    </w:p>
    <w:bookmarkEnd w:id="29"/>
    <w:bookmarkStart w:id="32" w:name="runtime-model"/>
    <w:p>
      <w:pPr>
        <w:pStyle w:val="Heading2"/>
      </w:pPr>
      <w:r>
        <w:t xml:space="preserve">Runtime Model</w:t>
      </w:r>
    </w:p>
    <w:p>
      <w:pPr>
        <w:pStyle w:val="FirstParagraph"/>
      </w:pPr>
      <w:r>
        <w:t xml:space="preserve">At runtime UIAO operates on conversations as the atomic unit</w:t>
      </w:r>
    </w:p>
    <w:bookmarkStart w:id="30" w:name="conversation-flow"/>
    <w:p>
      <w:pPr>
        <w:pStyle w:val="Heading3"/>
      </w:pPr>
      <w:r>
        <w:t xml:space="preserve">Conversation Flow</w:t>
      </w:r>
    </w:p>
    <w:p>
      <w:pPr>
        <w:numPr>
          <w:ilvl w:val="0"/>
          <w:numId w:val="1002"/>
        </w:numPr>
      </w:pPr>
      <w:r>
        <w:t xml:space="preserve">Conversation initiated by identity (human or NPE)</w:t>
      </w:r>
    </w:p>
    <w:p>
      <w:pPr>
        <w:numPr>
          <w:ilvl w:val="0"/>
          <w:numId w:val="1002"/>
        </w:numPr>
      </w:pPr>
      <w:r>
        <w:t xml:space="preserve">Addressing and boundaries selected based on identity attributes and policy</w:t>
      </w:r>
    </w:p>
    <w:p>
      <w:pPr>
        <w:numPr>
          <w:ilvl w:val="0"/>
          <w:numId w:val="1002"/>
        </w:numPr>
      </w:pPr>
      <w:r>
        <w:t xml:space="preserve">Certificates and overlays establish authenticated paths</w:t>
      </w:r>
    </w:p>
    <w:p>
      <w:pPr>
        <w:numPr>
          <w:ilvl w:val="0"/>
          <w:numId w:val="1002"/>
        </w:numPr>
      </w:pPr>
      <w:r>
        <w:t xml:space="preserve">Telemetry streams bound to conversation for quality, security, and audit</w:t>
      </w:r>
    </w:p>
    <w:p>
      <w:pPr>
        <w:numPr>
          <w:ilvl w:val="0"/>
          <w:numId w:val="1002"/>
        </w:numPr>
      </w:pPr>
      <w:r>
        <w:t xml:space="preserve">Policy evaluations occur continuously as telemetry and assurance change</w:t>
      </w:r>
    </w:p>
    <w:bookmarkEnd w:id="30"/>
    <w:bookmarkStart w:id="31" w:name="determinism"/>
    <w:p>
      <w:pPr>
        <w:pStyle w:val="Heading3"/>
      </w:pPr>
      <w:r>
        <w:t xml:space="preserve">Determinism</w:t>
      </w:r>
    </w:p>
    <w:p>
      <w:pPr>
        <w:pStyle w:val="FirstParagraph"/>
      </w:pPr>
      <w:r>
        <w:t xml:space="preserve">Given the same identity, boundary, telemetry, and assurance inputs, the system produces the same decision across clouds, agencies, and implementations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federal-identity-fragmentation"/>
    <w:p>
      <w:pPr>
        <w:pStyle w:val="Heading2"/>
      </w:pPr>
      <w:r>
        <w:t xml:space="preserve">Federal Identity Fragmentation</w:t>
      </w:r>
    </w:p>
    <w:p>
      <w:pPr>
        <w:pStyle w:val="FirstParagraph"/>
      </w:pPr>
      <w:r>
        <w:t xml:space="preserve">The US operates multiple disconnected identity regimes that do not interoperate in a coherent enterprise architecture</w:t>
      </w:r>
    </w:p>
    <w:bookmarkStart w:id="33" w:name="identity-regimes"/>
    <w:p>
      <w:pPr>
        <w:pStyle w:val="Heading3"/>
      </w:pPr>
      <w:r>
        <w:t xml:space="preserve">Identity Regimes</w:t>
      </w:r>
    </w:p>
    <w:p>
      <w:pPr>
        <w:numPr>
          <w:ilvl w:val="0"/>
          <w:numId w:val="1003"/>
        </w:numPr>
      </w:pPr>
      <w:r>
        <w:t xml:space="preserve">Workforce smartcards</w:t>
      </w:r>
    </w:p>
    <w:p>
      <w:pPr>
        <w:numPr>
          <w:ilvl w:val="0"/>
          <w:numId w:val="1003"/>
        </w:numPr>
      </w:pPr>
      <w:r>
        <w:t xml:space="preserve">Citizen digital identity</w:t>
      </w:r>
    </w:p>
    <w:p>
      <w:pPr>
        <w:numPr>
          <w:ilvl w:val="0"/>
          <w:numId w:val="1003"/>
        </w:numPr>
      </w:pPr>
      <w:r>
        <w:t xml:space="preserve">Passports</w:t>
      </w:r>
    </w:p>
    <w:p>
      <w:pPr>
        <w:numPr>
          <w:ilvl w:val="0"/>
          <w:numId w:val="1003"/>
        </w:numPr>
      </w:pPr>
      <w:r>
        <w:t xml:space="preserve">REAL ID</w:t>
      </w:r>
    </w:p>
    <w:bookmarkEnd w:id="33"/>
    <w:bookmarkStart w:id="34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4"/>
        </w:numPr>
      </w:pPr>
      <w:r>
        <w:t xml:space="preserve">No cross-regime lifecycle management</w:t>
      </w:r>
    </w:p>
    <w:p>
      <w:pPr>
        <w:numPr>
          <w:ilvl w:val="0"/>
          <w:numId w:val="1004"/>
        </w:numPr>
      </w:pPr>
      <w:r>
        <w:t xml:space="preserve">No shared identity graph</w:t>
      </w:r>
    </w:p>
    <w:p>
      <w:pPr>
        <w:numPr>
          <w:ilvl w:val="0"/>
          <w:numId w:val="1004"/>
        </w:numPr>
      </w:pPr>
      <w:r>
        <w:t xml:space="preserve">No technical interoperability across channels or missions</w:t>
      </w:r>
    </w:p>
    <w:bookmarkEnd w:id="34"/>
    <w:bookmarkStart w:id="35" w:name="uiao-role"/>
    <w:p>
      <w:pPr>
        <w:pStyle w:val="Heading3"/>
      </w:pPr>
      <w:r>
        <w:t xml:space="preserve">UIAO Role</w:t>
      </w:r>
    </w:p>
    <w:p>
      <w:pPr>
        <w:pStyle w:val="FirstParagraph"/>
      </w:pPr>
      <w:r>
        <w:t xml:space="preserve">Unified identity graph as reconciliation layer that federates and correlates regimes while preserving legal and assurance properties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pliance-drivers"/>
    <w:p>
      <w:pPr>
        <w:pStyle w:val="Heading2"/>
      </w:pPr>
      <w:r>
        <w:t xml:space="preserve">Compliance Drivers</w:t>
      </w:r>
    </w:p>
    <w:p>
      <w:pPr>
        <w:numPr>
          <w:ilvl w:val="0"/>
          <w:numId w:val="1005"/>
        </w:numPr>
      </w:pPr>
      <w:r>
        <w:t xml:space="preserve">Zero Trust strategy requirements (OMB memoranda)</w:t>
      </w:r>
    </w:p>
    <w:p>
      <w:pPr>
        <w:numPr>
          <w:ilvl w:val="0"/>
          <w:numId w:val="1005"/>
        </w:numPr>
      </w:pPr>
      <w:r>
        <w:t xml:space="preserve">Advanced logging and telemetry requirements</w:t>
      </w:r>
    </w:p>
    <w:p>
      <w:pPr>
        <w:numPr>
          <w:ilvl w:val="0"/>
          <w:numId w:val="1005"/>
        </w:numPr>
      </w:pPr>
      <w:r>
        <w:t xml:space="preserve">Binding Operational Directives for identity, asset, and vulnerability practices</w:t>
      </w:r>
    </w:p>
    <w:p>
      <w:pPr>
        <w:numPr>
          <w:ilvl w:val="0"/>
          <w:numId w:val="1005"/>
        </w:numPr>
      </w:pPr>
      <w:r>
        <w:t xml:space="preserve">Civil cyber-fraud enforcement for misrepresented compliance</w:t>
      </w:r>
    </w:p>
    <w:p>
      <w:pPr>
        <w:numPr>
          <w:ilvl w:val="0"/>
          <w:numId w:val="1005"/>
        </w:numPr>
      </w:pPr>
      <w:r>
        <w:t xml:space="preserve">Modernized FISMA reporting and emergency directive powers</w:t>
      </w:r>
    </w:p>
    <w:p>
      <w:r>
        <w:pict>
          <v:rect style="width:0;height:1.5pt" o:hralign="center" o:hrstd="t" o:hr="t"/>
        </w:pict>
      </w:r>
    </w:p>
    <w:bookmarkEnd w:id="37"/>
    <w:bookmarkStart w:id="38" w:name="cost-of-inaction"/>
    <w:p>
      <w:pPr>
        <w:pStyle w:val="Heading2"/>
      </w:pPr>
      <w:r>
        <w:t xml:space="preserve">Cost of Inaction</w:t>
      </w:r>
    </w:p>
    <w:p>
      <w:pPr>
        <w:numPr>
          <w:ilvl w:val="0"/>
          <w:numId w:val="1006"/>
        </w:numPr>
      </w:pPr>
      <w:r>
        <w:t xml:space="preserve">Budget impact</w:t>
      </w:r>
    </w:p>
    <w:p>
      <w:pPr>
        <w:numPr>
          <w:ilvl w:val="0"/>
          <w:numId w:val="1006"/>
        </w:numPr>
      </w:pPr>
      <w:r>
        <w:t xml:space="preserve">Emergency directives</w:t>
      </w:r>
    </w:p>
    <w:p>
      <w:pPr>
        <w:numPr>
          <w:ilvl w:val="0"/>
          <w:numId w:val="1006"/>
        </w:numPr>
      </w:pPr>
      <w:r>
        <w:t xml:space="preserve">Negative audit findings</w:t>
      </w:r>
    </w:p>
    <w:p>
      <w:pPr>
        <w:numPr>
          <w:ilvl w:val="0"/>
          <w:numId w:val="1006"/>
        </w:numPr>
      </w:pPr>
      <w:r>
        <w:t xml:space="preserve">Legal risk</w:t>
      </w:r>
    </w:p>
    <w:p>
      <w:pPr>
        <w:numPr>
          <w:ilvl w:val="0"/>
          <w:numId w:val="1006"/>
        </w:numPr>
      </w:pPr>
      <w:r>
        <w:t xml:space="preserve">Mission disruption</w:t>
      </w:r>
    </w:p>
    <w:p>
      <w:pPr>
        <w:numPr>
          <w:ilvl w:val="0"/>
          <w:numId w:val="1006"/>
        </w:numPr>
      </w:pPr>
      <w:r>
        <w:t xml:space="preserve">Inability to integrate with state and federal partners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2026-03-19T21:47:34Z</dcterms:created>
  <dcterms:modified xsi:type="dcterms:W3CDTF">2026-03-19T21:47:34Z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