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9.png" ContentType="image/png"/>
  <Override PartName="/word/media/rId13.png" ContentType="image/png"/>
  <Override PartName="/word/media/rId71.png" ContentType="image/png"/>
  <Override PartName="/word/media/rId85.png" ContentType="image/png"/>
  <Override PartName="/word/media/rId19.png" ContentType="image/png"/>
  <Override PartName="/word/media/rId26.png" ContentType="image/png"/>
  <Override PartName="/word/media/rId3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11:52 ET</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 layer required for FedRAMP 20x continuous monitoring authorization.</w:t>
      </w:r>
      <w:r>
        <w:t xml:space="preserve"> </w:t>
      </w:r>
      <w:r>
        <w:t xml:space="preserve">Each book maps its implementations directly to the NIST SP 800-53 Rev 5 controls it closes, and Book 19 assembles those mappings into a machine-readable OSCAL authorization package ready for 3PAO validation.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t xml:space="preserve">Jul 6, 2026</w:t>
            </w:r>
          </w:p>
        </w:tc>
        <w:tc>
          <w:tcPr/>
          <w:p>
            <w:pPr>
              <w:pStyle w:val="Compact"/>
            </w:pPr>
            <w:r>
              <w:t xml:space="preserve">20x Marketplace listings open</w:t>
            </w:r>
          </w:p>
        </w:tc>
        <w:tc>
          <w:tcPr/>
          <w:p>
            <w:pPr>
              <w:pStyle w:val="Compact"/>
            </w:pPr>
            <w:r>
              <w:t xml:space="preserve">CSPs may enter the initial implementation stage</w:t>
            </w:r>
          </w:p>
        </w:tc>
      </w:tr>
      <w:tr>
        <w:tc>
          <w:tcPr/>
          <w:p>
            <w:pPr>
              <w:pStyle w:val="Compact"/>
            </w:pPr>
            <w:r>
              <w:t xml:space="preserve">Jul 28, 2026</w:t>
            </w:r>
          </w:p>
        </w:tc>
        <w:tc>
          <w:tcPr/>
          <w:p>
            <w:pPr>
              <w:pStyle w:val="Compact"/>
            </w:pPr>
            <w:r>
              <w:t xml:space="preserve">FedRAMP Ready goes legacy</w:t>
            </w:r>
          </w:p>
        </w:tc>
        <w:tc>
          <w:tcPr/>
          <w:p>
            <w:pPr>
              <w:pStyle w:val="Compact"/>
            </w:pPr>
            <w:r>
              <w:t xml:space="preserve">No new Ready submissions accepted</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t xml:space="preserve">Aug 10, 2026</w:t>
            </w:r>
          </w:p>
        </w:tc>
        <w:tc>
          <w:tcPr/>
          <w:p>
            <w:pPr>
              <w:pStyle w:val="Compact"/>
            </w:pPr>
            <w:r>
              <w:t xml:space="preserve">Temporary Rev5 Program Certification opens</w:t>
            </w:r>
          </w:p>
        </w:tc>
        <w:tc>
          <w:tcPr/>
          <w:p>
            <w:pPr>
              <w:pStyle w:val="Compact"/>
            </w:pPr>
            <w:r>
              <w:t xml:space="preserve">Class B/C Ready-conversion and lost-sponsor paths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bookmarkEnd w:id="17"/>
    <w:bookmarkStart w:id="18" w:name="the-broader-federal-clock"/>
    <w:p>
      <w:pPr>
        <w:pStyle w:val="Heading2"/>
      </w:pPr>
      <w:r>
        <w:t xml:space="preserve">The Broader Federal Clock</w:t>
      </w:r>
    </w:p>
    <w:p>
      <w:pPr>
        <w:pStyle w:val="FirstParagraph"/>
      </w:pPr>
      <w:r>
        <w:t xml:space="preserve">FedRAMP 20x is the nearest deadline family, not the only one. The dates below</w:t>
      </w:r>
      <w:r>
        <w:t xml:space="preserve"> </w:t>
      </w:r>
      <w:r>
        <w:t xml:space="preserve">are the other federal mandates whose clocks run against the same NIST control</w:t>
      </w:r>
      <w:r>
        <w:t xml:space="preserve"> </w:t>
      </w:r>
      <w:r>
        <w:t xml:space="preserve">families this series closes. The authoritative, fully-sourced timeline —</w:t>
      </w:r>
      <w:r>
        <w:t xml:space="preserve"> </w:t>
      </w:r>
      <w:r>
        <w:t xml:space="preserve">including the elapsed baseline (M-21-31 logging, M-21-07 IPv6, M-22-09 Zero</w:t>
      </w:r>
      <w:r>
        <w:t xml:space="preserve"> </w:t>
      </w:r>
      <w:r>
        <w:t xml:space="preserve">Trust, BOD 25-01 SCuBA) — is maintained in the companion document</w:t>
      </w:r>
      <w:r>
        <w:t xml:space="preserve"> </w:t>
      </w:r>
      <w:r>
        <w:rPr>
          <w:i/>
          <w:iCs/>
        </w:rPr>
        <w:t xml:space="preserve">Federal AAN / ConMon Compliance Gap Roadmap</w:t>
      </w:r>
      <w:r>
        <w:t xml:space="preserve">, which is the series’ single</w:t>
      </w:r>
      <w:r>
        <w:t xml:space="preserve"> </w:t>
      </w:r>
      <w:r>
        <w:t xml:space="preserve">source of truth for federal dates.</w:t>
      </w:r>
    </w:p>
    <w:p>
      <w:pPr>
        <w:pStyle w:val="TableCaption"/>
      </w:pPr>
      <w:r>
        <w:t xml:space="preserve">The broader federal clock — mandates beyond FedRAMP 20x</w:t>
      </w:r>
    </w:p>
    <w:tbl>
      <w:tblPr>
        <w:tblStyle w:val="Table"/>
        <w:tblW w:type="pct" w:w="5000"/>
        <w:tblLayout w:type="fixed"/>
        <w:tblLook w:firstRow="1" w:lastRow="0" w:firstColumn="0" w:lastColumn="0" w:noHBand="0" w:noVBand="0" w:val="0020"/>
        <w:tblCaption w:val="The broader federal clock — mandates beyond FedRAMP 20x"/>
      </w:tblPr>
      <w:tblGrid>
        <w:gridCol w:w="1357"/>
        <w:gridCol w:w="2036"/>
        <w:gridCol w:w="4525"/>
      </w:tblGrid>
      <w:tr>
        <w:trPr>
          <w:tblHeader w:val="on"/>
        </w:trPr>
        <w:tc>
          <w:tcPr/>
          <w:p>
            <w:pPr>
              <w:pStyle w:val="Compact"/>
            </w:pPr>
            <w:r>
              <w:t xml:space="preserve">Date</w:t>
            </w:r>
          </w:p>
        </w:tc>
        <w:tc>
          <w:tcPr/>
          <w:p>
            <w:pPr>
              <w:pStyle w:val="Compact"/>
            </w:pPr>
            <w:r>
              <w:t xml:space="preserve">Mandate</w:t>
            </w:r>
          </w:p>
        </w:tc>
        <w:tc>
          <w:tcPr/>
          <w:p>
            <w:pPr>
              <w:pStyle w:val="Compact"/>
            </w:pPr>
            <w:r>
              <w:t xml:space="preserve">What it means here</w:t>
            </w:r>
          </w:p>
        </w:tc>
      </w:tr>
      <w:tr>
        <w:tc>
          <w:tcPr/>
          <w:p>
            <w:pPr>
              <w:pStyle w:val="Compact"/>
            </w:pPr>
            <w:r>
              <w:rPr>
                <w:b/>
                <w:bCs/>
              </w:rPr>
              <w:t xml:space="preserve">Aug 7, 2026</w:t>
            </w:r>
          </w:p>
        </w:tc>
        <w:tc>
          <w:tcPr/>
          <w:p>
            <w:pPr>
              <w:pStyle w:val="Compact"/>
            </w:pPr>
            <w:r>
              <w:t xml:space="preserve">BOD 26-04 agency policies due</w:t>
            </w:r>
          </w:p>
        </w:tc>
        <w:tc>
          <w:tcPr/>
          <w:p>
            <w:pPr>
              <w:pStyle w:val="Compact"/>
            </w:pPr>
            <w:r>
              <w:t xml:space="preserve">Vulnerability-management policy must support risk-based remediation (Part 11)</w:t>
            </w:r>
          </w:p>
        </w:tc>
      </w:tr>
      <w:tr>
        <w:tc>
          <w:tcPr/>
          <w:p>
            <w:pPr>
              <w:pStyle w:val="Compact"/>
            </w:pPr>
            <w:r>
              <w:rPr>
                <w:b/>
                <w:bCs/>
              </w:rPr>
              <w:t xml:space="preserve">Sep 21, 2026</w:t>
            </w:r>
          </w:p>
        </w:tc>
        <w:tc>
          <w:tcPr/>
          <w:p>
            <w:pPr>
              <w:pStyle w:val="Compact"/>
            </w:pPr>
            <w:r>
              <w:t xml:space="preserve">FIPS 140-2 certificates → NIST Historical List</w:t>
            </w:r>
          </w:p>
        </w:tc>
        <w:tc>
          <w:tcPr/>
          <w:p>
            <w:pPr>
              <w:pStyle w:val="Compact"/>
            </w:pPr>
            <w:r>
              <w:t xml:space="preserve">No new procurement reliance on 140-2-only modules; verify FIPS 140-3 tracking (SC-13 — Parts 3, 12)</w:t>
            </w:r>
          </w:p>
        </w:tc>
      </w:tr>
      <w:tr>
        <w:tc>
          <w:tcPr/>
          <w:p>
            <w:pPr>
              <w:pStyle w:val="Compact"/>
            </w:pPr>
            <w:r>
              <w:rPr>
                <w:b/>
                <w:bCs/>
              </w:rPr>
              <w:t xml:space="preserve">Dec 7, 2026</w:t>
            </w:r>
          </w:p>
        </w:tc>
        <w:tc>
          <w:tcPr/>
          <w:p>
            <w:pPr>
              <w:pStyle w:val="Compact"/>
            </w:pPr>
            <w:r>
              <w:t xml:space="preserve">BOD 26-04 remediation timelines in force</w:t>
            </w:r>
          </w:p>
        </w:tc>
        <w:tc>
          <w:tcPr/>
          <w:p>
            <w:pPr>
              <w:pStyle w:val="Compact"/>
            </w:pPr>
            <w:r>
              <w:t xml:space="preserve">Four-variable risk model live: 3-day KEV+exposed tier through deferral (Part 11)</w:t>
            </w:r>
          </w:p>
        </w:tc>
      </w:tr>
      <w:tr>
        <w:tc>
          <w:tcPr/>
          <w:p>
            <w:pPr>
              <w:pStyle w:val="Compact"/>
            </w:pPr>
            <w:r>
              <w:t xml:space="preserve">Jan 1, 2027</w:t>
            </w:r>
          </w:p>
        </w:tc>
        <w:tc>
          <w:tcPr/>
          <w:p>
            <w:pPr>
              <w:pStyle w:val="Compact"/>
            </w:pPr>
            <w:r>
              <w:t xml:space="preserve">CNSA 2.0 acquisition gate (NSS-scoped)</w:t>
            </w:r>
          </w:p>
        </w:tc>
        <w:tc>
          <w:tcPr/>
          <w:p>
            <w:pPr>
              <w:pStyle w:val="Compact"/>
            </w:pPr>
            <w:r>
              <w:t xml:space="preserve">ML-KEM-1024 + ML-DSA-87 for new NSS acquisitions; civilian PQC trajectory follows via M-23-02</w:t>
            </w:r>
          </w:p>
        </w:tc>
      </w:tr>
      <w:tr>
        <w:tc>
          <w:tcPr/>
          <w:p>
            <w:pPr>
              <w:pStyle w:val="Compact"/>
            </w:pPr>
            <w:r>
              <w:t xml:space="preserve">~Aug 2027</w:t>
            </w:r>
          </w:p>
        </w:tc>
        <w:tc>
          <w:tcPr/>
          <w:p>
            <w:pPr>
              <w:pStyle w:val="Compact"/>
            </w:pPr>
            <w:r>
              <w:t xml:space="preserve">Next NIST SP 800-53 scheduled release</w:t>
            </w:r>
          </w:p>
        </w:tc>
        <w:tc>
          <w:tcPr/>
          <w:p>
            <w:pPr>
              <w:pStyle w:val="Compact"/>
            </w:pPr>
            <w:r>
              <w:t xml:space="preserve">2-year cadence from Release 5.2.0 (Aug 27, 2025, which added SA-15(13), SA-24, SI-2(7) — not yet mapped in Parts 11/15; tracked in the roadmap)</w:t>
            </w:r>
          </w:p>
        </w:tc>
      </w:tr>
      <w:tr>
        <w:tc>
          <w:tcPr/>
          <w:p>
            <w:pPr>
              <w:pStyle w:val="Compact"/>
            </w:pPr>
            <w:r>
              <w:t xml:space="preserve">2030 / 2035</w:t>
            </w:r>
          </w:p>
        </w:tc>
        <w:tc>
          <w:tcPr/>
          <w:p>
            <w:pPr>
              <w:pStyle w:val="Compact"/>
            </w:pPr>
            <w:r>
              <w:t xml:space="preserve">Quantum-vulnerable crypto deprecated / prohibited</w:t>
            </w:r>
          </w:p>
        </w:tc>
        <w:tc>
          <w:tcPr/>
          <w:p>
            <w:pPr>
              <w:pStyle w:val="Compact"/>
            </w:pPr>
            <w:r>
              <w:t xml:space="preserve">M-23-02 annual crypto inventories run through the 2035 migration horizon (Parts 3, 12)</w:t>
            </w:r>
          </w:p>
        </w:tc>
      </w:tr>
    </w:tbl>
    <w:p>
      <w:r>
        <w:pict>
          <v:rect style="width:0;height:1.5pt" o:hralign="center" o:hrstd="t" o:hr="t"/>
        </w:pict>
      </w:r>
    </w:p>
    <w:bookmarkEnd w:id="18"/>
    <w:bookmarkStart w:id="22"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CaptionedFigure"/>
      </w:pPr>
      <w:r>
        <w:drawing>
          <wp:inline>
            <wp:extent cx="5334000" cy="3000375"/>
            <wp:effectExtent b="0" l="0" r="0" t="0"/>
            <wp:docPr descr="The Six Functional Planes — functions, not organizations" title="" id="20" name="Picture"/>
            <a:graphic>
              <a:graphicData uri="http://schemas.openxmlformats.org/drawingml/2006/picture">
                <pic:pic>
                  <pic:nvPicPr>
                    <pic:cNvPr descr="figs/es-fig-05-functional-planes.png" id="21" name="Picture"/>
                    <pic:cNvPicPr>
                      <a:picLocks noChangeArrowheads="1" noChangeAspect="1"/>
                    </pic:cNvPicPr>
                  </pic:nvPicPr>
                  <pic:blipFill>
                    <a:blip r:embed="rId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Six Functional Planes — functions, not organizations</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22"/>
    <w:bookmarkStart w:id="29"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aptionedFigure"/>
            </w:pPr>
            <w:r>
              <w:drawing>
                <wp:inline>
                  <wp:extent cx="5334000" cy="3000375"/>
                  <wp:effectExtent b="0" l="0" r="0" t="0"/>
                  <wp:docPr descr="DIA Is a Pipe — the governance stack satisfies the controls, the pipe solves latency" title="" id="27" name="Picture"/>
                  <a:graphic>
                    <a:graphicData uri="http://schemas.openxmlformats.org/drawingml/2006/picture">
                      <pic:pic>
                        <pic:nvPicPr>
                          <pic:cNvPr descr="figs/es-fig-06-dia-three-step.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DIA Is a Pipe — the governance stack satisfies the controls, the pipe solves latency</w:t>
            </w:r>
          </w:p>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29"/>
    <w:bookmarkStart w:id="30"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30"/>
    <w:bookmarkStart w:id="45"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31"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31"/>
    <w:bookmarkStart w:id="35"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CaptionedFigure"/>
      </w:pPr>
      <w:r>
        <w:drawing>
          <wp:inline>
            <wp:extent cx="5334000" cy="3000375"/>
            <wp:effectExtent b="0" l="0" r="0" t="0"/>
            <wp:docPr descr="Architecture Before Assessment — six phases; assessment tools arrive at Phase 5" title="" id="33" name="Picture"/>
            <a:graphic>
              <a:graphicData uri="http://schemas.openxmlformats.org/drawingml/2006/picture">
                <pic:pic>
                  <pic:nvPicPr>
                    <pic:cNvPr descr="figs/es-fig-07-architecture-before-assessment.png" id="34"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Architecture Before Assessment — six phases; assessment tools arrive at Phase 5</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35"/>
    <w:bookmarkStart w:id="39"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Program File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39"/>
    <w:bookmarkStart w:id="40"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40"/>
    <w:bookmarkStart w:id="44"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aptionedFigure"/>
      </w:pPr>
      <w:r>
        <w:drawing>
          <wp:inline>
            <wp:extent cx="5334000" cy="3000375"/>
            <wp:effectExtent b="0" l="0" r="0" t="0"/>
            <wp:docPr descr="The Coverage Arithmetic — 10 of 29 KSI rules attestable by conformance tooling alone" title="" id="42" name="Picture"/>
            <a:graphic>
              <a:graphicData uri="http://schemas.openxmlformats.org/drawingml/2006/picture">
                <pic:pic>
                  <pic:nvPicPr>
                    <pic:cNvPr descr="figs/es-fig-08-coverage-arithmetic.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Coverage Arithmetic — 10 of 29 KSI rules attestable by conformance tooling alone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44"/>
    <w:bookmarkEnd w:id="45"/>
    <w:bookmarkStart w:id="46"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46"/>
    <w:bookmarkStart w:id="49"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Program Files\Quarto\share\formats\docx\note.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49"/>
    <w:bookmarkStart w:id="52" w:name="X6f9a64b586cbcc7969c4f245976846e0504a959"/>
    <w:p>
      <w:pPr>
        <w:pStyle w:val="Heading1"/>
      </w:pPr>
      <w:r>
        <w:t xml:space="preserve">7. Part 1 — Landing Zone DDI: InfoBlox DDI Closes 16 NIST Controls</w:t>
      </w:r>
    </w:p>
    <w:bookmarkStart w:id="50"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50"/>
    <w:bookmarkStart w:id="51"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51"/>
    <w:bookmarkEnd w:id="52"/>
    <w:bookmarkStart w:id="54" w:name="Xbcc0181b0bedc83b159769420775f7f4bd5b5ee"/>
    <w:p>
      <w:pPr>
        <w:pStyle w:val="Heading1"/>
      </w:pPr>
      <w:r>
        <w:t xml:space="preserve">8. Part 2 — Network Access Control: 802.1X Closes the Device Identity Gap</w:t>
      </w:r>
    </w:p>
    <w:bookmarkStart w:id="53"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53"/>
    <w:bookmarkEnd w:id="54"/>
    <w:bookmarkStart w:id="56" w:name="X405ac1b7341efa237459fac366bded0a1afb81b"/>
    <w:p>
      <w:pPr>
        <w:pStyle w:val="Heading1"/>
      </w:pPr>
      <w:r>
        <w:t xml:space="preserve">9. Part 3 — Certificates &amp; Tokens: Cryptographic Identity</w:t>
      </w:r>
    </w:p>
    <w:bookmarkStart w:id="55"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55"/>
    <w:bookmarkEnd w:id="56"/>
    <w:bookmarkStart w:id="58" w:name="Xc99982daf1675290c6dee7e65da8f2f47fccda2"/>
    <w:p>
      <w:pPr>
        <w:pStyle w:val="Heading1"/>
      </w:pPr>
      <w:r>
        <w:t xml:space="preserve">10. Part 4 — OPM HRIT and the Identity &amp; Organizational SSOT</w:t>
      </w:r>
    </w:p>
    <w:bookmarkStart w:id="57"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57"/>
    <w:bookmarkEnd w:id="58"/>
    <w:bookmarkStart w:id="61" w:name="X10b5b70168cf61c697e46bca4109e68839cb391"/>
    <w:p>
      <w:pPr>
        <w:pStyle w:val="Heading1"/>
      </w:pPr>
      <w:r>
        <w:t xml:space="preserve">11. Part 5 — Network and Identity Modernization: Entra ID + ZTNA + Active Governance Closes 12 NIST Controls</w:t>
      </w:r>
    </w:p>
    <w:bookmarkStart w:id="59"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59"/>
    <w:bookmarkStart w:id="60"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60"/>
    <w:bookmarkEnd w:id="61"/>
    <w:bookmarkStart w:id="64" w:name="X2d88030fe1371762303048ee6244da6478ed0f7"/>
    <w:p>
      <w:pPr>
        <w:pStyle w:val="Heading1"/>
      </w:pPr>
      <w:r>
        <w:t xml:space="preserve">12. Part 6 — Telecommunications Modernization: SD-WAN + SASE Closes 7 NIST Controls</w:t>
      </w:r>
    </w:p>
    <w:bookmarkStart w:id="62"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62"/>
    <w:bookmarkStart w:id="63"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63"/>
    <w:bookmarkEnd w:id="64"/>
    <w:bookmarkStart w:id="68" w:name="Xd4e84a07e291e418566bcb97aa439fd3597f127"/>
    <w:p>
      <w:pPr>
        <w:pStyle w:val="Heading1"/>
      </w:pPr>
      <w:r>
        <w:t xml:space="preserve">13. Parts 7–9 — SQL Server and Database Architecture</w:t>
      </w:r>
    </w:p>
    <w:bookmarkStart w:id="65"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65"/>
    <w:bookmarkStart w:id="66"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66"/>
    <w:bookmarkStart w:id="67"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67"/>
    <w:bookmarkEnd w:id="68"/>
    <w:bookmarkStart w:id="70"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69"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69"/>
    <w:bookmarkEnd w:id="70"/>
    <w:bookmarkStart w:id="77"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72" name="Picture"/>
            <a:graphic>
              <a:graphicData uri="http://schemas.openxmlformats.org/drawingml/2006/picture">
                <pic:pic>
                  <pic:nvPicPr>
                    <pic:cNvPr descr="figs/es-fig-02-control-closure-chart.png" id="73" name="Picture"/>
                    <pic:cNvPicPr>
                      <a:picLocks noChangeArrowheads="1" noChangeAspect="1"/>
                    </pic:cNvPicPr>
                  </pic:nvPicPr>
                  <pic:blipFill>
                    <a:blip r:embed="rId71"/>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74"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74"/>
    <w:bookmarkStart w:id="75"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75"/>
    <w:bookmarkStart w:id="76"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76"/>
    <w:bookmarkEnd w:id="77"/>
    <w:bookmarkStart w:id="83"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78"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78"/>
    <w:bookmarkStart w:id="79"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79"/>
    <w:bookmarkStart w:id="80"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80"/>
    <w:bookmarkStart w:id="81"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81"/>
    <w:bookmarkStart w:id="82"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82"/>
    <w:bookmarkEnd w:id="83"/>
    <w:bookmarkStart w:id="84"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84"/>
    <w:bookmarkStart w:id="90"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86" name="Picture"/>
            <a:graphic>
              <a:graphicData uri="http://schemas.openxmlformats.org/drawingml/2006/picture">
                <pic:pic>
                  <pic:nvPicPr>
                    <pic:cNvPr descr="figs/es-fig-04-sequencing-roadmap.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88"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88"/>
    <w:bookmarkStart w:id="89"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89"/>
    <w:bookmarkEnd w:id="90"/>
    <w:bookmarkStart w:id="110"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91">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92">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93">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94">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95">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96">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97">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98">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99">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100">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101">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102">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103">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104">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105">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106">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107">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108">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109">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hyperlink" Id="rId91" Target="Book_01_FedAAN_SSA_Landing_Zone_IPAM_FedRAMP.qmd" TargetMode="External" /><Relationship Type="http://schemas.openxmlformats.org/officeDocument/2006/relationships/hyperlink" Id="rId92" Target="Book_02_FedAAN_Network_Access_Control_802_1X.qmd" TargetMode="External" /><Relationship Type="http://schemas.openxmlformats.org/officeDocument/2006/relationships/hyperlink" Id="rId93" Target="Book_03_FedAAN_Certificates_Tokens_Cryptographic_Identity.qmd" TargetMode="External" /><Relationship Type="http://schemas.openxmlformats.org/officeDocument/2006/relationships/hyperlink" Id="rId94" Target="Book_04_FedAAN_OPM%20HRIT_Identity_Org_SSOT.qmd" TargetMode="External" /><Relationship Type="http://schemas.openxmlformats.org/officeDocument/2006/relationships/hyperlink" Id="rId95" Target="Book_05_FedAAN_Network_Modernization.qmd" TargetMode="External" /><Relationship Type="http://schemas.openxmlformats.org/officeDocument/2006/relationships/hyperlink" Id="rId96" Target="Book_06_FedAAN_Federal_Telecommunications_Modernization.qmd" TargetMode="External" /><Relationship Type="http://schemas.openxmlformats.org/officeDocument/2006/relationships/hyperlink" Id="rId97" Target="Book_07_FedAAN_SQL_Server_Authentication_Modernization.qmd" TargetMode="External" /><Relationship Type="http://schemas.openxmlformats.org/officeDocument/2006/relationships/hyperlink" Id="rId98" Target="Book_08_FedAAN_SQL_Server_Implementation_Guide.qmd" TargetMode="External" /><Relationship Type="http://schemas.openxmlformats.org/officeDocument/2006/relationships/hyperlink" Id="rId99" Target="Book_09_FedAAN_Database_Consolidation_Network_Physics.qmd" TargetMode="External" /><Relationship Type="http://schemas.openxmlformats.org/officeDocument/2006/relationships/hyperlink" Id="rId100" Target="Book_10_FedAAN_Privileged_Access_Management.qmd" TargetMode="External" /><Relationship Type="http://schemas.openxmlformats.org/officeDocument/2006/relationships/hyperlink" Id="rId101" Target="Book_11_FedAAN_Vulnerability_Management.qmd" TargetMode="External" /><Relationship Type="http://schemas.openxmlformats.org/officeDocument/2006/relationships/hyperlink" Id="rId102" Target="Book_12_FedAAN_Data_Protection_Purview.qmd" TargetMode="External" /><Relationship Type="http://schemas.openxmlformats.org/officeDocument/2006/relationships/hyperlink" Id="rId103" Target="Book_13_FedAAN_SIEM_XDR_Detection.qmd" TargetMode="External" /><Relationship Type="http://schemas.openxmlformats.org/officeDocument/2006/relationships/hyperlink" Id="rId104" Target="Book_14_FedAAN_Business_Continuity.qmd" TargetMode="External" /><Relationship Type="http://schemas.openxmlformats.org/officeDocument/2006/relationships/hyperlink" Id="rId105" Target="Book_15_FedAAN_Supply_Chain_Risk_Management.qmd" TargetMode="External" /><Relationship Type="http://schemas.openxmlformats.org/officeDocument/2006/relationships/hyperlink" Id="rId106" Target="Book_16_FedAAN_Program_Management_Governance.qmd" TargetMode="External" /><Relationship Type="http://schemas.openxmlformats.org/officeDocument/2006/relationships/hyperlink" Id="rId107" Target="Book_17_FedAAN_PII_Processing_Transparency.qmd" TargetMode="External" /><Relationship Type="http://schemas.openxmlformats.org/officeDocument/2006/relationships/hyperlink" Id="rId108" Target="Book_18_FedAAN_Cybersecurity_Training_Awareness.qmd" TargetMode="External" /><Relationship Type="http://schemas.openxmlformats.org/officeDocument/2006/relationships/hyperlink" Id="rId109"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91" Target="Book_01_FedAAN_SSA_Landing_Zone_IPAM_FedRAMP.qmd" TargetMode="External" /><Relationship Type="http://schemas.openxmlformats.org/officeDocument/2006/relationships/hyperlink" Id="rId92" Target="Book_02_FedAAN_Network_Access_Control_802_1X.qmd" TargetMode="External" /><Relationship Type="http://schemas.openxmlformats.org/officeDocument/2006/relationships/hyperlink" Id="rId93" Target="Book_03_FedAAN_Certificates_Tokens_Cryptographic_Identity.qmd" TargetMode="External" /><Relationship Type="http://schemas.openxmlformats.org/officeDocument/2006/relationships/hyperlink" Id="rId94" Target="Book_04_FedAAN_OPM%20HRIT_Identity_Org_SSOT.qmd" TargetMode="External" /><Relationship Type="http://schemas.openxmlformats.org/officeDocument/2006/relationships/hyperlink" Id="rId95" Target="Book_05_FedAAN_Network_Modernization.qmd" TargetMode="External" /><Relationship Type="http://schemas.openxmlformats.org/officeDocument/2006/relationships/hyperlink" Id="rId96" Target="Book_06_FedAAN_Federal_Telecommunications_Modernization.qmd" TargetMode="External" /><Relationship Type="http://schemas.openxmlformats.org/officeDocument/2006/relationships/hyperlink" Id="rId97" Target="Book_07_FedAAN_SQL_Server_Authentication_Modernization.qmd" TargetMode="External" /><Relationship Type="http://schemas.openxmlformats.org/officeDocument/2006/relationships/hyperlink" Id="rId98" Target="Book_08_FedAAN_SQL_Server_Implementation_Guide.qmd" TargetMode="External" /><Relationship Type="http://schemas.openxmlformats.org/officeDocument/2006/relationships/hyperlink" Id="rId99" Target="Book_09_FedAAN_Database_Consolidation_Network_Physics.qmd" TargetMode="External" /><Relationship Type="http://schemas.openxmlformats.org/officeDocument/2006/relationships/hyperlink" Id="rId100" Target="Book_10_FedAAN_Privileged_Access_Management.qmd" TargetMode="External" /><Relationship Type="http://schemas.openxmlformats.org/officeDocument/2006/relationships/hyperlink" Id="rId101" Target="Book_11_FedAAN_Vulnerability_Management.qmd" TargetMode="External" /><Relationship Type="http://schemas.openxmlformats.org/officeDocument/2006/relationships/hyperlink" Id="rId102" Target="Book_12_FedAAN_Data_Protection_Purview.qmd" TargetMode="External" /><Relationship Type="http://schemas.openxmlformats.org/officeDocument/2006/relationships/hyperlink" Id="rId103" Target="Book_13_FedAAN_SIEM_XDR_Detection.qmd" TargetMode="External" /><Relationship Type="http://schemas.openxmlformats.org/officeDocument/2006/relationships/hyperlink" Id="rId104" Target="Book_14_FedAAN_Business_Continuity.qmd" TargetMode="External" /><Relationship Type="http://schemas.openxmlformats.org/officeDocument/2006/relationships/hyperlink" Id="rId105" Target="Book_15_FedAAN_Supply_Chain_Risk_Management.qmd" TargetMode="External" /><Relationship Type="http://schemas.openxmlformats.org/officeDocument/2006/relationships/hyperlink" Id="rId106" Target="Book_16_FedAAN_Program_Management_Governance.qmd" TargetMode="External" /><Relationship Type="http://schemas.openxmlformats.org/officeDocument/2006/relationships/hyperlink" Id="rId107" Target="Book_17_FedAAN_PII_Processing_Transparency.qmd" TargetMode="External" /><Relationship Type="http://schemas.openxmlformats.org/officeDocument/2006/relationships/hyperlink" Id="rId108" Target="Book_18_FedAAN_Cybersecurity_Training_Awareness.qmd" TargetMode="External" /><Relationship Type="http://schemas.openxmlformats.org/officeDocument/2006/relationships/hyperlink" Id="rId109"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2026-07-07T15:51:05Z</dcterms:created>
  <dcterms:modified xsi:type="dcterms:W3CDTF">2026-07-07T15:51:05Z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