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7, 2026 — Internal UIAO Working Document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2026-07-07 11:52 ET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 layer</w:t>
      </w:r>
      <w:r>
        <w:t xml:space="preserve"> </w:t>
      </w:r>
      <w:r>
        <w:t xml:space="preserve">for</w:t>
      </w:r>
      <w:r>
        <w:t xml:space="preserve"> </w:t>
      </w:r>
      <w:r>
        <w:t xml:space="preserve">FedRAMP 20x continuous monitoring.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FedRAMP 20x CR26 KSI rules</w:t>
      </w:r>
      <w:r>
        <w:t xml:space="preserve"> </w:t>
      </w:r>
      <w:r>
        <w:t xml:space="preserve">— zero scaffold rules remain. Part 18 (Book_18) delivered the AT family training</w:t>
      </w:r>
      <w:r>
        <w:t xml:space="preserve"> </w:t>
      </w:r>
      <w:r>
        <w:t xml:space="preserve">evidence and closed KSI-022 (KSI-CED-RAT). Part 19 (Book_19) assembled the</w:t>
      </w:r>
      <w:r>
        <w:t xml:space="preserve"> </w:t>
      </w:r>
      <w:r>
        <w:t xml:space="preserve">authorization package — OSCAL bundle (29/29 satisfied, 0 open risks, 0 POA&amp;M</w:t>
      </w:r>
      <w:r>
        <w:t xml:space="preserve"> </w:t>
      </w:r>
      <w:r>
        <w:t xml:space="preserve">items), BOD 26-04 VDR/VER submission procedure, and CA-7 ConMon program. All 29</w:t>
      </w:r>
      <w:r>
        <w:t xml:space="preserve"> </w:t>
      </w:r>
      <w:r>
        <w:t xml:space="preserve">KSIs are satisfied at high confidence.</w:t>
      </w:r>
      <w:r>
        <w:t xml:space="preserve"> </w:t>
      </w:r>
      <w:r>
        <w:rPr>
          <w:b/>
          <w:bCs/>
        </w:rPr>
        <w:t xml:space="preserve">The series is complete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 package is ready for FedRAMP PMO submission.</w:t>
      </w:r>
    </w:p>
    <w:p>
      <w:r>
        <w:pict>
          <v:rect style="width:0;height:1.5pt" o:hralign="center" o:hrstd="t" o:hr="t"/>
        </w:pict>
      </w:r>
    </w:p>
    <w:bookmarkEnd w:id="9"/>
    <w:bookmarkStart w:id="13" w:name="Xa24d59ace16dcaeb78ad935606038d54785a5ad"/>
    <w:p>
      <w:pPr>
        <w:pStyle w:val="Heading2"/>
      </w:pPr>
      <w:r>
        <w:t xml:space="preserve">Federal Compliance Timeline — All Mandates Touching NIST Control Families</w:t>
      </w:r>
    </w:p>
    <w:p>
      <w:pPr>
        <w:pStyle w:val="FirstParagraph"/>
      </w:pPr>
      <w:r>
        <w:rPr>
          <w:i/>
          <w:iCs/>
        </w:rPr>
        <w:t xml:space="preserve">Researched and verified 2026-07-07 against fedramp.gov, cisa.gov, csrc.nist.gov,</w:t>
      </w:r>
      <w:r>
        <w:rPr>
          <w:i/>
          <w:iCs/>
        </w:rPr>
        <w:t xml:space="preserve"> </w:t>
      </w:r>
      <w:r>
        <w:rPr>
          <w:i/>
          <w:iCs/>
        </w:rPr>
        <w:t xml:space="preserve">whitehouse.gov, and NSA CNSA 2.0 guidance. This section is the series’ single</w:t>
      </w:r>
      <w:r>
        <w:rPr>
          <w:i/>
          <w:iCs/>
        </w:rPr>
        <w:t xml:space="preserve"> </w:t>
      </w:r>
      <w:r>
        <w:rPr>
          <w:i/>
          <w:iCs/>
        </w:rPr>
        <w:t xml:space="preserve">source of truth for federal dates; the Books cite subsets of it.</w:t>
      </w:r>
    </w:p>
    <w:bookmarkStart w:id="10" w:name="already-in-force-the-elapsed-baseline"/>
    <w:p>
      <w:pPr>
        <w:pStyle w:val="Heading3"/>
      </w:pPr>
      <w:r>
        <w:t xml:space="preserve">Already in force — the elapsed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063"/>
        <w:gridCol w:w="2127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NIST families</w:t>
            </w:r>
          </w:p>
        </w:tc>
        <w:tc>
          <w:tcPr/>
          <w:p>
            <w:pPr>
              <w:pStyle w:val="Compact"/>
            </w:pPr>
            <w:r>
              <w:t xml:space="preserve">AAN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16, 2020 / Jan 6,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Kari’s Law / RAY BAUM’S Act §506</w:t>
            </w:r>
          </w:p>
        </w:tc>
        <w:tc>
          <w:tcPr/>
          <w:p>
            <w:pPr>
              <w:pStyle w:val="Compact"/>
            </w:pPr>
            <w:r>
              <w:t xml:space="preserve">Direct 911 dialing; dispatchable location for MLTS incl. non-fixed devices</w:t>
            </w:r>
          </w:p>
        </w:tc>
        <w:tc>
          <w:tcPr/>
          <w:p>
            <w:pPr>
              <w:pStyle w:val="Compact"/>
            </w:pPr>
            <w:r>
              <w:t xml:space="preserve">(telecom; PE/SC-adjacent)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23,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 5</w:t>
            </w:r>
            <w:r>
              <w:t xml:space="preserve"> </w:t>
            </w:r>
            <w:r>
              <w:t xml:space="preserve">(Rev 4 withdrawn)</w:t>
            </w:r>
          </w:p>
        </w:tc>
        <w:tc>
          <w:tcPr/>
          <w:p>
            <w:pPr>
              <w:pStyle w:val="Compact"/>
            </w:pPr>
            <w:r>
              <w:t xml:space="preserve">Current control catalog; FedRAMP Moderate baseline drawn from it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12,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Zero Trust direction, SBOM, logging, incident sharing</w:t>
            </w:r>
          </w:p>
        </w:tc>
        <w:tc>
          <w:tcPr/>
          <w:p>
            <w:pPr>
              <w:pStyle w:val="Compact"/>
            </w:pPr>
            <w:r>
              <w:t xml:space="preserve">Umbrella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2022 → Aug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M-21-31</w:t>
            </w:r>
            <w:r>
              <w:t xml:space="preserve"> </w:t>
            </w:r>
            <w:r>
              <w:t xml:space="preserve">(event logging)</w:t>
            </w:r>
          </w:p>
        </w:tc>
        <w:tc>
          <w:tcPr/>
          <w:p>
            <w:pPr>
              <w:pStyle w:val="Compact"/>
            </w:pPr>
            <w:r>
              <w:t xml:space="preserve">EL1 by Aug 2022, EL2 by Feb 2023, EL3 (full) by Aug 2023</w:t>
            </w:r>
          </w:p>
        </w:tc>
        <w:tc>
          <w:tcPr/>
          <w:p>
            <w:pPr>
              <w:pStyle w:val="Compact"/>
            </w:pPr>
            <w:r>
              <w:t xml:space="preserve">AU-2, AU-6, AU-11, AU-12</w:t>
            </w:r>
          </w:p>
        </w:tc>
        <w:tc>
          <w:tcPr/>
          <w:p>
            <w:pPr>
              <w:pStyle w:val="Compact"/>
            </w:pPr>
            <w:r>
              <w:t xml:space="preserve">Parts 13,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FY2023 → FY2025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M-21-07</w:t>
            </w:r>
            <w:r>
              <w:t xml:space="preserve"> </w:t>
            </w:r>
            <w:r>
              <w:t xml:space="preserve">(IPv6)</w:t>
            </w:r>
          </w:p>
        </w:tc>
        <w:tc>
          <w:tcPr/>
          <w:p>
            <w:pPr>
              <w:pStyle w:val="Compact"/>
            </w:pPr>
            <w:r>
              <w:t xml:space="preserve">20% IPv6-only FY2023 → 50% FY2024 → 80% FY2025</w:t>
            </w:r>
          </w:p>
        </w:tc>
        <w:tc>
          <w:tcPr/>
          <w:p>
            <w:pPr>
              <w:pStyle w:val="Compact"/>
            </w:pPr>
            <w:r>
              <w:t xml:space="preserve">CM-8, SC family</w:t>
            </w:r>
          </w:p>
        </w:tc>
        <w:tc>
          <w:tcPr/>
          <w:p>
            <w:pPr>
              <w:pStyle w:val="Compact"/>
            </w:pPr>
            <w:r>
              <w:t xml:space="preserve">Part 1 (IPAM)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18-01</w:t>
            </w:r>
          </w:p>
        </w:tc>
        <w:tc>
          <w:tcPr/>
          <w:p>
            <w:pPr>
              <w:pStyle w:val="Compact"/>
            </w:pPr>
            <w:r>
              <w:t xml:space="preserve">DMARC p=reject; HTTPS everywhere</w:t>
            </w:r>
          </w:p>
        </w:tc>
        <w:tc>
          <w:tcPr/>
          <w:p>
            <w:pPr>
              <w:pStyle w:val="Compact"/>
            </w:pPr>
            <w:r>
              <w:t xml:space="preserve">SC-8; email auth (DNS)</w:t>
            </w:r>
          </w:p>
        </w:tc>
        <w:tc>
          <w:tcPr/>
          <w:p>
            <w:pPr>
              <w:pStyle w:val="Compact"/>
            </w:pPr>
            <w:r>
              <w:t xml:space="preserve">Part 1 (DNS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22-01</w:t>
            </w:r>
            <w:r>
              <w:t xml:space="preserve"> </w:t>
            </w:r>
            <w:r>
              <w:t xml:space="preserve">(KEV)</w:t>
            </w:r>
          </w:p>
        </w:tc>
        <w:tc>
          <w:tcPr/>
          <w:p>
            <w:pPr>
              <w:pStyle w:val="Compact"/>
            </w:pPr>
            <w:r>
              <w:t xml:space="preserve">Remediate Known Exploited Vulnerabilities on CISA timelines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 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23-01</w:t>
            </w:r>
          </w:p>
        </w:tc>
        <w:tc>
          <w:tcPr/>
          <w:p>
            <w:pPr>
              <w:pStyle w:val="Compact"/>
            </w:pPr>
            <w:r>
              <w:t xml:space="preserve">Asset visibility + vulnerability enumeration reporting</w:t>
            </w:r>
          </w:p>
        </w:tc>
        <w:tc>
          <w:tcPr/>
          <w:p>
            <w:pPr>
              <w:pStyle w:val="Compact"/>
            </w:pPr>
            <w:r>
              <w:t xml:space="preserve">CM-8, RA-5</w:t>
            </w:r>
          </w:p>
        </w:tc>
        <w:tc>
          <w:tcPr/>
          <w:p>
            <w:pPr>
              <w:pStyle w:val="Compact"/>
            </w:pPr>
            <w:r>
              <w:t xml:space="preserve">Parts 1, 2,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30,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M-22-09</w:t>
            </w:r>
            <w:r>
              <w:t xml:space="preserve"> </w:t>
            </w:r>
            <w:r>
              <w:t xml:space="preserve">(Zero Trust)</w:t>
            </w:r>
          </w:p>
        </w:tc>
        <w:tc>
          <w:tcPr/>
          <w:p>
            <w:pPr>
              <w:pStyle w:val="Compact"/>
            </w:pPr>
            <w:r>
              <w:t xml:space="preserve">Phishing-resistant MFA, app-layer enforcement — goals due end FY2024;</w:t>
            </w:r>
            <w:r>
              <w:t xml:space="preserve"> </w:t>
            </w:r>
            <w:r>
              <w:rPr>
                <w:b/>
                <w:bCs/>
              </w:rPr>
              <w:t xml:space="preserve">not superseded</w:t>
            </w:r>
            <w:r>
              <w:t xml:space="preserve">: M-24-14 (Jul 2024) + M-25-04 (Jan 2025) continue maturation; FISMA/CDM still measure progress</w:t>
            </w:r>
          </w:p>
        </w:tc>
        <w:tc>
          <w:tcPr/>
          <w:p>
            <w:pPr>
              <w:pStyle w:val="Compact"/>
            </w:pPr>
            <w:r>
              <w:t xml:space="preserve">IA-2(1)/(2), AC-4, SI-4</w:t>
            </w:r>
          </w:p>
        </w:tc>
        <w:tc>
          <w:tcPr/>
          <w:p>
            <w:pPr>
              <w:pStyle w:val="Compact"/>
            </w:pPr>
            <w:r>
              <w:t xml:space="preserve">Parts 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18, 2022 → 2035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M-23-02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t xml:space="preserve">Annual cryptographic inventories through 2035; migration leads; funding assessments</w:t>
            </w:r>
          </w:p>
        </w:tc>
        <w:tc>
          <w:tcPr/>
          <w:p>
            <w:pPr>
              <w:pStyle w:val="Compact"/>
            </w:pPr>
            <w:r>
              <w:t xml:space="preserve">SC-12, 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13,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FIPS 203/204/205</w:t>
            </w:r>
          </w:p>
        </w:tc>
        <w:tc>
          <w:tcPr/>
          <w:p>
            <w:pPr>
              <w:pStyle w:val="Compact"/>
            </w:pPr>
            <w:r>
              <w:t xml:space="preserve">PQC algorithms standardized (ML-KEM, ML-DSA, SLH-DSA)</w:t>
            </w:r>
          </w:p>
        </w:tc>
        <w:tc>
          <w:tcPr/>
          <w:p>
            <w:pPr>
              <w:pStyle w:val="Compact"/>
            </w:pPr>
            <w:r>
              <w:t xml:space="preserve">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20,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25-01</w:t>
            </w:r>
            <w:r>
              <w:t xml:space="preserve"> </w:t>
            </w:r>
            <w:r>
              <w:t xml:space="preserve">(SCuBA)</w:t>
            </w:r>
          </w:p>
        </w:tc>
        <w:tc>
          <w:tcPr/>
          <w:p>
            <w:pPr>
              <w:pStyle w:val="Compact"/>
            </w:pPr>
            <w:r>
              <w:t xml:space="preserve">Tenants inventoried Feb 21, 2025 → tools deployed Apr 25, 2025 → all mandatory policies Jun 20, 2025</w:t>
            </w:r>
          </w:p>
        </w:tc>
        <w:tc>
          <w:tcPr/>
          <w:p>
            <w:pPr>
              <w:pStyle w:val="Compact"/>
            </w:pPr>
            <w:r>
              <w:t xml:space="preserve">CM-2/6, AC, IA (M365)</w:t>
            </w:r>
          </w:p>
        </w:tc>
        <w:tc>
          <w:tcPr/>
          <w:p>
            <w:pPr>
              <w:pStyle w:val="Compact"/>
            </w:pPr>
            <w:r>
              <w:t xml:space="preserve">KSI-001..010; ScubaDrift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27,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Release 5.2.0</w:t>
            </w:r>
          </w:p>
        </w:tc>
        <w:tc>
          <w:tcPr/>
          <w:p>
            <w:pPr>
              <w:pStyle w:val="Compact"/>
            </w:pPr>
            <w:r>
              <w:t xml:space="preserve">New controls</w:t>
            </w:r>
            <w:r>
              <w:t xml:space="preserve"> </w:t>
            </w:r>
            <w:r>
              <w:rPr>
                <w:b/>
                <w:bCs/>
              </w:rPr>
              <w:t xml:space="preserve">SA-15(13), SA-24, SI-2(7)</w:t>
            </w:r>
            <w:r>
              <w:t xml:space="preserve"> </w:t>
            </w:r>
            <w:r>
              <w:t xml:space="preserve">+ SA/SI discussion updates (EO 14306 patch security)</w:t>
            </w:r>
          </w:p>
        </w:tc>
        <w:tc>
          <w:tcPr/>
          <w:p>
            <w:pPr>
              <w:pStyle w:val="Compact"/>
            </w:pPr>
            <w:r>
              <w:t xml:space="preserve">SA, SI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Gap — see callout below</w:t>
            </w:r>
          </w:p>
        </w:tc>
      </w:tr>
    </w:tbl>
    <w:bookmarkEnd w:id="10"/>
    <w:bookmarkStart w:id="11" w:name="fy2026-the-active-window"/>
    <w:p>
      <w:pPr>
        <w:pStyle w:val="Heading3"/>
      </w:pPr>
      <w:r>
        <w:t xml:space="preserve">FY2026 — the active window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10,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issued</w:t>
            </w:r>
            <w:r>
              <w:t xml:space="preserve"> </w:t>
            </w:r>
            <w:r>
              <w:t xml:space="preserve">(risk-based remediation)</w:t>
            </w:r>
          </w:p>
        </w:tc>
        <w:tc>
          <w:tcPr/>
          <w:p>
            <w:pPr>
              <w:pStyle w:val="Compact"/>
            </w:pPr>
            <w:r>
              <w:t xml:space="preserve">Four-variable risk model (exposure × KEV × automatable × impact); timelines from 3 days to deferral replace flat CVSS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25,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Consolidated Rules for 2026 published</w:t>
            </w:r>
          </w:p>
        </w:tc>
        <w:tc>
          <w:tcPr/>
          <w:p>
            <w:pPr>
              <w:pStyle w:val="Compact"/>
            </w:pPr>
            <w:r>
              <w:t xml:space="preserve">20x leaves pilot; machine-readable KSI evidence regime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6, 2026</w:t>
            </w:r>
          </w:p>
        </w:tc>
        <w:tc>
          <w:tcPr/>
          <w:p>
            <w:pPr>
              <w:pStyle w:val="Compact"/>
            </w:pPr>
            <w:r>
              <w:t xml:space="preserve">20x Marketplace listings open</w:t>
            </w:r>
          </w:p>
        </w:tc>
        <w:tc>
          <w:tcPr/>
          <w:p>
            <w:pPr>
              <w:pStyle w:val="Compact"/>
            </w:pPr>
            <w:r>
              <w:t xml:space="preserve">CSPs may enter the initial implementation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28, 2026</w:t>
            </w:r>
          </w:p>
        </w:tc>
        <w:tc>
          <w:tcPr/>
          <w:p>
            <w:pPr>
              <w:pStyle w:val="Compact"/>
            </w:pPr>
            <w:r>
              <w:t xml:space="preserve">FedRAMP Ready goes legacy</w:t>
            </w:r>
          </w:p>
        </w:tc>
        <w:tc>
          <w:tcPr/>
          <w:p>
            <w:pPr>
              <w:pStyle w:val="Compact"/>
            </w:pPr>
            <w:r>
              <w:t xml:space="preserve">No new Ready submissions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26-04: agency policies due</w:t>
            </w:r>
          </w:p>
        </w:tc>
        <w:tc>
          <w:tcPr/>
          <w:p>
            <w:pPr>
              <w:pStyle w:val="Compact"/>
            </w:pPr>
            <w:r>
              <w:t xml:space="preserve">Vulnerability-management policies must support ongoing risk-based 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10, 2026</w:t>
            </w:r>
          </w:p>
        </w:tc>
        <w:tc>
          <w:tcPr/>
          <w:p>
            <w:pPr>
              <w:pStyle w:val="Compact"/>
            </w:pPr>
            <w:r>
              <w:t xml:space="preserve">Temporary Rev5 Program Certification opens</w:t>
            </w:r>
          </w:p>
        </w:tc>
        <w:tc>
          <w:tcPr/>
          <w:p>
            <w:pPr>
              <w:pStyle w:val="Compact"/>
            </w:pPr>
            <w:r>
              <w:t xml:space="preserve">Class B/C Ready-conversion and lost-sponsor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GCC Moderate systems can begin —</w:t>
            </w:r>
            <w:r>
              <w:t xml:space="preserve"> </w:t>
            </w:r>
            <w:r>
              <w:rPr>
                <w:b/>
                <w:bCs/>
              </w:rPr>
              <w:t xml:space="preserve">SSA’s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 21,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140-2 certificates → NIST Historical List</w:t>
            </w:r>
          </w:p>
        </w:tc>
        <w:tc>
          <w:tcPr/>
          <w:p>
            <w:pPr>
              <w:pStyle w:val="Compact"/>
            </w:pPr>
            <w:r>
              <w:t xml:space="preserve">No new procurement reliance on 140-2-only validated modules; verify crypto modules are FIPS 140-3 tracked (SC-13)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remediation timelines in force + FedRAMP VDR/VER mandatory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required; agencies evaluating/remediating on BOD 26-04 timelines; KSI-011–014 evaluable</w:t>
            </w:r>
          </w:p>
        </w:tc>
      </w:tr>
    </w:tbl>
    <w:bookmarkEnd w:id="11"/>
    <w:bookmarkStart w:id="12" w:name="and-beyond-the-horizon"/>
    <w:p>
      <w:pPr>
        <w:pStyle w:val="Heading3"/>
      </w:pPr>
      <w:r>
        <w:t xml:space="preserve">2027 and beyond — the horizon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CR26 mandatory for all</w:t>
            </w:r>
          </w:p>
        </w:tc>
        <w:tc>
          <w:tcPr/>
          <w:p>
            <w:pPr>
              <w:pStyle w:val="Compact"/>
            </w:pPr>
            <w:r>
              <w:t xml:space="preserve">All ConMon evidence machine-readable KSI format; legacy Rev 5 path closes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CNSA 2.0 acquisition gate</w:t>
            </w:r>
            <w:r>
              <w:t xml:space="preserve"> </w:t>
            </w:r>
            <w:r>
              <w:t xml:space="preserve">(NSS-scoped)</w:t>
            </w:r>
          </w:p>
        </w:tc>
        <w:tc>
          <w:tcPr/>
          <w:p>
            <w:pPr>
              <w:pStyle w:val="Compact"/>
            </w:pPr>
            <w:r>
              <w:t xml:space="preserve">New National Security System acquisitions must support ML-KEM-1024 + ML-DSA-87; civilian trajectory follows via M-23-02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certifications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~Aug 2027</w:t>
            </w:r>
          </w:p>
        </w:tc>
        <w:tc>
          <w:tcPr/>
          <w:p>
            <w:pPr>
              <w:pStyle w:val="Compact"/>
            </w:pPr>
            <w:r>
              <w:t xml:space="preserve">Next scheduled NIST SP 800-53 release</w:t>
            </w:r>
          </w:p>
        </w:tc>
        <w:tc>
          <w:tcPr/>
          <w:p>
            <w:pPr>
              <w:pStyle w:val="Compact"/>
            </w:pPr>
            <w:r>
              <w:t xml:space="preserve">Time-driven major releases every 2 years from Release 5.2.0 — watch for control deltas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Quantum-vulnerable cryptography</w:t>
            </w:r>
            <w:r>
              <w:t xml:space="preserve"> </w:t>
            </w:r>
            <w:r>
              <w:rPr>
                <w:b/>
                <w:bCs/>
              </w:rPr>
              <w:t xml:space="preserve">deprecated</w:t>
            </w:r>
            <w:r>
              <w:t xml:space="preserve"> </w:t>
            </w:r>
            <w:r>
              <w:t xml:space="preserve">(federal target)</w:t>
            </w:r>
          </w:p>
        </w:tc>
        <w:tc>
          <w:tcPr/>
          <w:p>
            <w:pPr>
              <w:pStyle w:val="Compact"/>
            </w:pPr>
            <w:r>
              <w:t xml:space="preserve">RSA/ECC key establishment and signatures phase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PQC migration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; quantum-vulnerable</w:t>
            </w:r>
            <w:r>
              <w:t xml:space="preserve"> </w:t>
            </w:r>
            <w:r>
              <w:rPr>
                <w:b/>
                <w:bCs/>
              </w:rP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M-23-02 / NSM-10 horizon for federal civilian systems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New exposure from Release 5.2.0 (action item):</w:t>
      </w:r>
      <w:r>
        <w:t xml:space="preserve"> </w:t>
      </w:r>
      <w:r>
        <w:t xml:space="preserve">NIST SP 800-53 Release</w:t>
      </w:r>
      <w:r>
        <w:t xml:space="preserve"> </w:t>
      </w:r>
      <w:r>
        <w:t xml:space="preserve">5.2.0 (Aug 27, 2025) added</w:t>
      </w:r>
      <w:r>
        <w:t xml:space="preserve"> </w:t>
      </w:r>
      <w:r>
        <w:rPr>
          <w:b/>
          <w:bCs/>
        </w:rPr>
        <w:t xml:space="preserve">SA-15(13)</w:t>
      </w:r>
      <w:r>
        <w:t xml:space="preserve"> </w:t>
      </w:r>
      <w:r>
        <w:t xml:space="preserve">(secure update process),</w:t>
      </w:r>
      <w:r>
        <w:t xml:space="preserve"> </w:t>
      </w:r>
      <w:r>
        <w:rPr>
          <w:b/>
          <w:bCs/>
        </w:rPr>
        <w:t xml:space="preserve">SA-24</w:t>
      </w:r>
      <w:r>
        <w:t xml:space="preserve"> </w:t>
      </w:r>
      <w:r>
        <w:t xml:space="preserve">(root-of-trust for software updates), and</w:t>
      </w:r>
      <w:r>
        <w:t xml:space="preserve"> </w:t>
      </w:r>
      <w:r>
        <w:rPr>
          <w:b/>
          <w:bCs/>
        </w:rPr>
        <w:t xml:space="preserve">SI-2(7)</w:t>
      </w:r>
      <w:r>
        <w:t xml:space="preserve"> </w:t>
      </w:r>
      <w:r>
        <w:t xml:space="preserve">(update integrity</w:t>
      </w:r>
      <w:r>
        <w:t xml:space="preserve"> </w:t>
      </w:r>
      <w:r>
        <w:t xml:space="preserve">verification), plus discussion changes across SA-4/5/8 and SI-2. The AAN</w:t>
      </w:r>
      <w:r>
        <w:t xml:space="preserve"> </w:t>
      </w:r>
      <w:r>
        <w:t xml:space="preserve">series control-closure tables (Parts 11, 15) predate the additions and do not</w:t>
      </w:r>
      <w:r>
        <w:t xml:space="preserve"> </w:t>
      </w:r>
      <w:r>
        <w:t xml:space="preserve">yet map them. When FedRAMP incorporates 5.2.0 deltas into baselines, these</w:t>
      </w:r>
      <w:r>
        <w:t xml:space="preserve"> </w:t>
      </w:r>
      <w:r>
        <w:t xml:space="preserve">three land in the Part 11 / Part 15 closure scope — track and map before the</w:t>
      </w:r>
      <w:r>
        <w:t xml:space="preserve"> </w:t>
      </w:r>
      <w:r>
        <w:t xml:space="preserve">next annual assessment.</w:t>
      </w:r>
    </w:p>
    <w:p>
      <w:pPr>
        <w:pStyle w:val="FirstParagraph"/>
      </w:pPr>
      <w:r>
        <w:rPr>
          <w:b/>
          <w:bCs/>
        </w:rPr>
        <w:t xml:space="preserve">Timeline sources (verified 2026-07-07):</w:t>
      </w:r>
      <w:r>
        <w:t xml:space="preserve"> </w:t>
      </w:r>
      <w:r>
        <w:t xml:space="preserve">FedRAMP Consolidated Rules for</w:t>
      </w:r>
      <w:r>
        <w:t xml:space="preserve"> </w:t>
      </w:r>
      <w:r>
        <w:t xml:space="preserve">2026 announcement + timeline (fedramp.gov/20x); CISA BOD 26-04 directive +</w:t>
      </w:r>
      <w:r>
        <w:t xml:space="preserve"> </w:t>
      </w:r>
      <w:r>
        <w:t xml:space="preserve">implementation guidance (cisa.gov); FedRAMP notice 0014 (BOD 26-04 response —</w:t>
      </w:r>
      <w:r>
        <w:t xml:space="preserve"> </w:t>
      </w:r>
      <w:r>
        <w:t xml:space="preserve">VDR/VER Dec 7, 2026); CISA BOD 25-01 (cisa.gov); NIST SP 800-53 Release 5.2.0</w:t>
      </w:r>
      <w:r>
        <w:t xml:space="preserve"> </w:t>
      </w:r>
      <w:r>
        <w:t xml:space="preserve">change summary (csrc.nist.gov, Aug 27, 2025); OMB M-22-09 / M-21-31 / M-21-07 /</w:t>
      </w:r>
      <w:r>
        <w:t xml:space="preserve"> </w:t>
      </w:r>
      <w:r>
        <w:t xml:space="preserve">M-23-02 (whitehouse.gov); NSA CNSA 2.0 (v2.1, Dec 2024); NIST FIPS 140-2</w:t>
      </w:r>
      <w:r>
        <w:t xml:space="preserve"> </w:t>
      </w:r>
      <w:r>
        <w:t xml:space="preserve">Historical List transition (Sep 21, 2026).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4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4"/>
    <w:bookmarkStart w:id="15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5"/>
    <w:bookmarkStart w:id="16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18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18"/>
    <w:bookmarkStart w:id="19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30" w:name="sequenced-implementation-plan"/>
    <w:p>
      <w:pPr>
        <w:pStyle w:val="Heading2"/>
      </w:pPr>
      <w:r>
        <w:t xml:space="preserve">Sequenced Implementation Plan</w:t>
      </w:r>
    </w:p>
    <w:bookmarkStart w:id="21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1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2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3"/>
        </w:numPr>
      </w:pPr>
      <w:r>
        <w:t xml:space="preserve">Conformance Adapter surface slots 1–4 bound to AAN evidence</w:t>
      </w:r>
    </w:p>
    <w:bookmarkEnd w:id="21"/>
    <w:bookmarkStart w:id="22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4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5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6"/>
        </w:numPr>
      </w:pPr>
      <w:r>
        <w:t xml:space="preserve">KSI-011–014 mapping confidence upgraded low → high (VER contract via Part 15 + slot-06)</w:t>
      </w:r>
    </w:p>
    <w:bookmarkEnd w:id="22"/>
    <w:bookmarkStart w:id="23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7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08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09"/>
        </w:numPr>
      </w:pPr>
      <w:r>
        <w:t xml:space="preserve">CR26 rules for SR/PM families (KSI-015 KSI-SCR-MIT + KSI-016 KSI-SCR-MON → active)</w:t>
      </w:r>
    </w:p>
    <w:bookmarkEnd w:id="23"/>
    <w:bookmarkStart w:id="24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0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1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2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4"/>
    <w:bookmarkStart w:id="25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3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4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5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7"/>
        </w:numPr>
      </w:pPr>
      <w:r>
        <w:t xml:space="preserve">All 10 KSI themes now have local-rule coverage (zero-gap themes: none)</w:t>
      </w:r>
    </w:p>
    <w:bookmarkEnd w:id="25"/>
    <w:bookmarkStart w:id="26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18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19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0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1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3"/>
        </w:numPr>
      </w:pPr>
      <w:r>
        <w:t xml:space="preserve">Book_00 Executive Summary updated to fifteen-book series</w:t>
      </w:r>
    </w:p>
    <w:bookmarkEnd w:id="26"/>
    <w:bookmarkStart w:id="27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4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5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6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28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29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0"/>
        </w:numPr>
      </w:pPr>
      <w:r>
        <w:t xml:space="preserve">Book_00 Executive Summary updated to sixteen-book series; Phase 6 roadmap added</w:t>
      </w:r>
    </w:p>
    <w:bookmarkEnd w:id="27"/>
    <w:bookmarkStart w:id="28" w:name="Xd47729c270b0dba4d0f5d41c78a329feea5265f"/>
    <w:p>
      <w:pPr>
        <w:pStyle w:val="Heading3"/>
      </w:pPr>
      <w:r>
        <w:t xml:space="preserve">Phase 7 — Authorization Package Submission (FedRAMP PMO)</w:t>
      </w:r>
    </w:p>
    <w:p>
      <w:pPr>
        <w:pStyle w:val="Compact"/>
        <w:numPr>
          <w:ilvl w:val="0"/>
          <w:numId w:val="1031"/>
        </w:numPr>
      </w:pPr>
      <w:r>
        <w:t xml:space="preserve">Authorization package submitted to FedRAMP PMO (Class B+C window — Aug 31, 2026+)</w:t>
      </w:r>
    </w:p>
    <w:p>
      <w:pPr>
        <w:pStyle w:val="Compact"/>
        <w:numPr>
          <w:ilvl w:val="0"/>
          <w:numId w:val="1032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3"/>
        </w:numPr>
      </w:pPr>
      <w:r>
        <w:t xml:space="preserve">FedRAMP 20x ATO issued (all 29 KSI rules satisfied in AR)</w:t>
      </w:r>
    </w:p>
    <w:bookmarkEnd w:id="28"/>
    <w:bookmarkStart w:id="29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4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5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6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7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38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2026-07-07T15:51:08Z</dcterms:created>
  <dcterms:modified xsi:type="dcterms:W3CDTF">2026-07-07T15:51:08Z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