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FedRAMP</w:t>
      </w:r>
      <w:r>
        <w:t xml:space="preserve"> </w:t>
      </w:r>
      <w:r>
        <w:t xml:space="preserve">20x</w:t>
      </w:r>
      <w:r>
        <w:t xml:space="preserve"> </w:t>
      </w:r>
      <w:r>
        <w:t xml:space="preserve">Phase</w:t>
      </w:r>
      <w:r>
        <w:t xml:space="preserve"> </w:t>
      </w:r>
      <w:r>
        <w:t xml:space="preserve">2</w:t>
      </w:r>
      <w:r>
        <w:t xml:space="preserve"> </w:t>
      </w:r>
      <w:r>
        <w:t xml:space="preserve">Compliance</w:t>
      </w:r>
      <w:r>
        <w:t xml:space="preserve"> </w:t>
      </w:r>
      <w:r>
        <w:t xml:space="preserve">Summary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X97ebc968037ea5a380857af41de744d5207758a"/>
    <w:p>
      <w:pPr>
        <w:pStyle w:val="Heading1"/>
      </w:pPr>
      <w:r>
        <w:t xml:space="preserve">UIAO FedRAMP 20x Phase 2 Compliance Summary</w:t>
      </w:r>
    </w:p>
    <w:p>
      <w:pPr>
        <w:pStyle w:val="FirstParagraph"/>
      </w:pPr>
      <w:r>
        <w:rPr>
          <w:bCs/>
          <w:b/>
        </w:rPr>
        <w:t xml:space="preserve">Version 1.0</w:t>
      </w:r>
    </w:p>
    <w:p>
      <w:r>
        <w:pict>
          <v:rect style="width:0;height:1.5pt" o:hralign="center" o:hrstd="t" o:hr="t"/>
        </w:pict>
      </w:r>
    </w:p>
    <w:bookmarkEnd w:id="20"/>
    <w:bookmarkStart w:id="21" w:name="compliance-drivers"/>
    <w:p>
      <w:pPr>
        <w:pStyle w:val="Heading1"/>
      </w:pPr>
      <w:r>
        <w:t xml:space="preserve">Compliance Drivers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7" w:name="Xbd6c3a18fdfbb31a92ed2405524763146fea4b4"/>
    <w:p>
      <w:pPr>
        <w:pStyle w:val="Heading1"/>
      </w:pPr>
      <w:r>
        <w:t xml:space="preserve">Architecture Supporting FedRAMP 20x Phase 2</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X2666842156ccc968e9b8daa12136cba0cd28c50"/>
    <w:p>
      <w:pPr>
        <w:pStyle w:val="Heading1"/>
      </w:pPr>
      <w:r>
        <w:t xml:space="preserve">Core Concepts Supporting FedRAMP 20x Phase 2</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frozen-state-compliance-risks"/>
    <w:p>
      <w:pPr>
        <w:pStyle w:val="Heading1"/>
      </w:pPr>
      <w:r>
        <w:t xml:space="preserve">Frozen State Compliance Risks</w:t>
      </w:r>
    </w:p>
    <w:p>
      <w:pPr>
        <w:pStyle w:val="FirstParagraph"/>
      </w:pPr>
      <w:r>
        <w:t xml:space="preserve">The agency’s current environment reflects a series of disconnected legacy systems that cannot support modern requirements. Identity is siloed across divisions, preventing a unified identity graph. Addressing is static and manually managed, creating operational risk and preventing accurate correlation. Network security relies on perimeter firewalls that cannot enforce identity-aware segmentation. Endpoint posture is inconsistent due to mixed tooling. Applications rely on monolithic architectures and local authentication, limiting scalability and modernization. Telemetry is collected but not correlated, preventing conversation-level visibility. Governance depends on email and manual change management, slowing operations and increasing error rates. Data protection relies on manual classification and noisy DLP, limiting effectiveness.</w:t>
      </w:r>
    </w:p>
    <w:p>
      <w:r>
        <w:pict>
          <v:rect style="width:0;height:1.5pt" o:hralign="center" o:hrstd="t" o:hr="t"/>
        </w:pict>
      </w:r>
    </w:p>
    <w:bookmarkEnd w:id="36"/>
    <w:bookmarkStart w:id="37" w:name="compliance-outcomes"/>
    <w:p>
      <w:pPr>
        <w:pStyle w:val="Heading1"/>
      </w:pPr>
      <w:r>
        <w:t xml:space="preserve">Compliance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FedRAMP 20x Phase 2 Compliance Summary v1.0</w:t>
      </w:r>
    </w:p>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FedRAMP 20x Phase 2 Compliance Summary</dc:title>
  <dc:creator/>
  <cp:keywords/>
  <dcterms:created xsi:type="dcterms:W3CDTF">2026-03-22T18:37:12Z</dcterms:created>
  <dcterms:modified xsi:type="dcterms:W3CDTF">2026-03-22T18:37:12Z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