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7.png" ContentType="image/png"/>
  <Override PartName="/word/media/rId9.png" ContentType="image/png"/>
  <Override PartName="/word/media/rId5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p>
      <w:pPr>
        <w:pStyle w:val="BodyText"/>
      </w:pPr>
      <w:r>
        <w:rPr>
          <w:b/>
          <w:bCs/>
        </w:rPr>
        <w:t xml:space="preserve">For authorizing officials, program executives, and budget decision makers.</w:t>
      </w:r>
    </w:p>
    <w:p>
      <w:pPr>
        <w:pStyle w:val="BodyText"/>
      </w:pPr>
      <w:r>
        <w:t xml:space="preserve">This document summarizes nineteen companion implementation guides that together constitute the Federal Application-Aware Networking program. Books 01–04 lay the substrate: the DDI/IPAM naming-and-addressing plane (16 controls), 802.1X network access control closing the device-identity gap at the network port, the certificate-and-token cryptographic identity layer that every session-less architecture depends on, and the HRIT identity and organizational single source of truth — the SaaS-delivered HR system of record whose worker and organizational records are what every token, account, and access decision ultimately asserts. Books 05–09 deliver the modernization tracks — network and identity architecture (Entra ID + ZTNA + Active Governance), telecommunications (SD-WAN + SASE), SQL Server authentication, and database architecture and network physics — closing</w:t>
      </w:r>
      <w:r>
        <w:t xml:space="preserve"> </w:t>
      </w:r>
      <w:r>
        <w:rPr>
          <w:b/>
          <w:bCs/>
        </w:rPr>
        <w:t xml:space="preserve">34 distinct NIST SP 800-53 Rev 5 controls</w:t>
      </w:r>
      <w:r>
        <w:t xml:space="preserve"> </w:t>
      </w:r>
      <w:r>
        <w:t xml:space="preserve">across the original six tracks. Books 10–14 extend coverage to privileged access management, vulnerability management, data protection, SIEM/XDR detection engineering, and business continuity — adding approximately</w:t>
      </w:r>
      <w:r>
        <w:t xml:space="preserve"> </w:t>
      </w:r>
      <w:r>
        <w:rPr>
          <w:b/>
          <w:bCs/>
        </w:rPr>
        <w:t xml:space="preserve">55 additional controls</w:t>
      </w:r>
      <w:r>
        <w:t xml:space="preserve"> </w:t>
      </w:r>
      <w:r>
        <w:t xml:space="preserve">across the AC, RA, MP, SC, AU, SI, IR, and CP families. Books 15–17 close the remaining SR, PM, and PT control families — supply chain risk management (SBOM/VDR/VEX pipeline), program management governance (POA&amp;M/SCRM/ISPP), and PII processing transparency (PT family templates and Purview enforcement). Book 18 delivers the AT family cybersecurity training program — activating KSI-022 (KSI-CED-RAT) and making all 29 FedRAMP 20x CR26 KSIs evaluable at high confidence. Book 19 assembles the complete FedRAMP 20x authorization package — OSCAL AP+AR+POA&amp;M bundle (29/29 KSIs self-assessed as satisfied, 0 open risks, pending independent 3PAO validation), continuous monitoring program, and BOD 26-04 VDR/VER submission procedure — closing CA-2, CA-5, CA-6, CA-7, RA-3, and SA-15. Together the series constitutes the complete evidence generation and authorization layer required for FedRAMP 20x continuous monitoring authorization.</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Start w:id="12"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0" name="Picture"/>
            <a:graphic>
              <a:graphicData uri="http://schemas.openxmlformats.org/drawingml/2006/picture">
                <pic:pic>
                  <pic:nvPicPr>
                    <pic:cNvPr descr="figs/es-fig-01-series-overview.png" id="11" name="Picture"/>
                    <pic:cNvPicPr>
                      <a:picLocks noChangeArrowheads="1" noChangeAspect="1"/>
                    </pic:cNvPicPr>
                  </pic:nvPicPr>
                  <pic:blipFill>
                    <a:blip r:embed="rId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FedRAMP 20x authorization package · OSCAL AP+AR+POA&amp;M bundle · BOD 26-04 VDR/VER submission · CA-7 ConMon program</w:t>
            </w:r>
          </w:p>
        </w:tc>
        <w:tc>
          <w:tcPr/>
          <w:p>
            <w:pPr>
              <w:pStyle w:val="Compact"/>
            </w:pPr>
            <w:r>
              <w:t xml:space="preserve">CA-2/5/6/7 · RA-3 · SA-15</w:t>
            </w:r>
          </w:p>
        </w:tc>
      </w:tr>
    </w:tbl>
    <w:bookmarkEnd w:id="12"/>
    <w:bookmarkStart w:id="13"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GCC Moderate systems can begin</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p>
      <w:r>
        <w:pict>
          <v:rect style="width:0;height:1.5pt" o:hralign="center" o:hrstd="t" o:hr="t"/>
        </w:pict>
      </w:r>
    </w:p>
    <w:bookmarkEnd w:id="13"/>
    <w:bookmarkStart w:id="14"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14"/>
    <w:bookmarkStart w:id="18"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ompact"/>
              <w:numPr>
                <w:ilvl w:val="0"/>
                <w:numId w:val="1001"/>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1"/>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1"/>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18"/>
    <w:bookmarkStart w:id="19"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19"/>
    <w:bookmarkStart w:id="25"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20"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2"/>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2"/>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2"/>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2"/>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20"/>
    <w:bookmarkStart w:id="21"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21"/>
    <w:bookmarkStart w:id="22"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3"/>
        </w:numPr>
      </w:pPr>
      <w:r>
        <w:rPr>
          <w:b/>
          <w:bCs/>
        </w:rPr>
        <w:t xml:space="preserve">Network layer</w:t>
      </w:r>
      <w:r>
        <w:t xml:space="preserve"> </w:t>
      </w:r>
      <w:r>
        <w:t xml:space="preserve">— DDI, DNS, DHCP, IPAM, DNSSEC, RPZ (InfoBlox)</w:t>
      </w:r>
    </w:p>
    <w:p>
      <w:pPr>
        <w:pStyle w:val="Compact"/>
        <w:numPr>
          <w:ilvl w:val="0"/>
          <w:numId w:val="1003"/>
        </w:numPr>
      </w:pPr>
      <w:r>
        <w:rPr>
          <w:b/>
          <w:bCs/>
        </w:rPr>
        <w:t xml:space="preserve">Transport layer</w:t>
      </w:r>
      <w:r>
        <w:t xml:space="preserve"> </w:t>
      </w:r>
      <w:r>
        <w:t xml:space="preserve">— IPsec overlays, SD-WAN QoS, DIA vs. SASE path selection</w:t>
      </w:r>
    </w:p>
    <w:p>
      <w:pPr>
        <w:pStyle w:val="Compact"/>
        <w:numPr>
          <w:ilvl w:val="0"/>
          <w:numId w:val="1003"/>
        </w:numPr>
      </w:pPr>
      <w:r>
        <w:rPr>
          <w:b/>
          <w:bCs/>
        </w:rPr>
        <w:t xml:space="preserve">Application layer</w:t>
      </w:r>
      <w:r>
        <w:t xml:space="preserve"> </w:t>
      </w:r>
      <w:r>
        <w:t xml:space="preserve">— CASB, SWG, FWaaS, SSL inspection (SASE stack)</w:t>
      </w:r>
    </w:p>
    <w:p>
      <w:pPr>
        <w:pStyle w:val="Compact"/>
        <w:numPr>
          <w:ilvl w:val="0"/>
          <w:numId w:val="1003"/>
        </w:numPr>
      </w:pPr>
      <w:r>
        <w:rPr>
          <w:b/>
          <w:bCs/>
        </w:rPr>
        <w:t xml:space="preserve">Identity layer</w:t>
      </w:r>
      <w:r>
        <w:t xml:space="preserve"> </w:t>
      </w:r>
      <w:r>
        <w:t xml:space="preserve">— Entra ID, Conditional Access, Arc Managed Identity, NTLM elimination</w:t>
      </w:r>
    </w:p>
    <w:p>
      <w:pPr>
        <w:pStyle w:val="Compact"/>
        <w:numPr>
          <w:ilvl w:val="0"/>
          <w:numId w:val="1003"/>
        </w:numPr>
      </w:pPr>
      <w:r>
        <w:rPr>
          <w:b/>
          <w:bCs/>
        </w:rPr>
        <w:t xml:space="preserve">Data layer</w:t>
      </w:r>
      <w:r>
        <w:t xml:space="preserve"> </w:t>
      </w:r>
      <w:r>
        <w:t xml:space="preserve">— SQL Server, TDE, consistency classes, replication physics</w:t>
      </w:r>
    </w:p>
    <w:p>
      <w:pPr>
        <w:pStyle w:val="Compact"/>
        <w:numPr>
          <w:ilvl w:val="0"/>
          <w:numId w:val="1003"/>
        </w:numPr>
      </w:pPr>
      <w:r>
        <w:rPr>
          <w:b/>
          <w:bCs/>
        </w:rPr>
        <w:t xml:space="preserve">Operations layer</w:t>
      </w:r>
      <w:r>
        <w:t xml:space="preserve"> </w:t>
      </w:r>
      <w:r>
        <w:t xml:space="preserve">— Sentinel, Defender XDR, KQL, Logic App playbooks</w:t>
      </w:r>
    </w:p>
    <w:p>
      <w:pPr>
        <w:pStyle w:val="Compact"/>
        <w:numPr>
          <w:ilvl w:val="0"/>
          <w:numId w:val="1003"/>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22"/>
    <w:bookmarkStart w:id="23"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4"/>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4"/>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4"/>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4"/>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23"/>
    <w:bookmarkStart w:id="24"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ompact"/>
        <w:numPr>
          <w:ilvl w:val="0"/>
          <w:numId w:val="1005"/>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05"/>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24"/>
    <w:bookmarkEnd w:id="25"/>
    <w:bookmarkStart w:id="26" w:name="the-ksi-closure-necessity-matrix"/>
    <w:p>
      <w:pPr>
        <w:pStyle w:val="Heading1"/>
      </w:pPr>
      <w:r>
        <w:t xml:space="preserve">5. 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26"/>
    <w:bookmarkStart w:id="30"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30"/>
    <w:bookmarkStart w:id="33" w:name="X6f9a64b586cbcc7969c4f245976846e0504a959"/>
    <w:p>
      <w:pPr>
        <w:pStyle w:val="Heading1"/>
      </w:pPr>
      <w:r>
        <w:t xml:space="preserve">7. Part 1 — Landing Zone DDI: InfoBlox DDI Closes 16 NIST Controls</w:t>
      </w:r>
    </w:p>
    <w:bookmarkStart w:id="31"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the only FedRAMP Moderate-authorized DDI platform (CSO FR2017257053, authorized January 2023, hosted on AWS GovCloud).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31"/>
    <w:bookmarkStart w:id="32"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(inherited ATO)</w:t>
            </w:r>
          </w:p>
        </w:tc>
        <w:tc>
          <w:tcPr/>
          <w:p>
            <w:pPr>
              <w:pStyle w:val="Compact"/>
            </w:pPr>
            <w:r>
              <w:t xml:space="preserve">DDI architecture described informally or not at all in SSP</w:t>
            </w:r>
          </w:p>
        </w:tc>
        <w:tc>
          <w:tcPr/>
          <w:p>
            <w:pPr>
              <w:pStyle w:val="Compact"/>
            </w:pPr>
            <w:r>
              <w:t xml:space="preserve">Unified DDI architecture documented in SSP; InfoBlox FedRAMP ATO cited as inherited control for DDI layer</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32"/>
    <w:bookmarkEnd w:id="33"/>
    <w:bookmarkStart w:id="35" w:name="Xbcc0181b0bedc83b159769420775f7f4bd5b5ee"/>
    <w:p>
      <w:pPr>
        <w:pStyle w:val="Heading1"/>
      </w:pPr>
      <w:r>
        <w:t xml:space="preserve">8. Part 2 — Network Access Control: 802.1X Closes the Device Identity Gap</w:t>
      </w:r>
    </w:p>
    <w:bookmarkStart w:id="34"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802.1X EAP-TLS port authentication, RADIUS with real-time change of</w:t>
      </w:r>
      <w:r>
        <w:t xml:space="preserve"> </w:t>
      </w:r>
      <w:r>
        <w:t xml:space="preserve">authorization, certificate enrollment via Intune SCEP to TPM-backed machine</w:t>
      </w:r>
      <w:r>
        <w:t xml:space="preserve"> </w:t>
      </w:r>
      <w:r>
        <w:t xml:space="preserve">certificates, NAC policy tiers (production, remediation, quarantine, guest,</w:t>
      </w:r>
      <w:r>
        <w:t xml:space="preserve"> </w:t>
      </w:r>
      <w:r>
        <w:t xml:space="preserve">IoT), and DHCP fingerprinting that feeds IPAM as the authoritative device</w:t>
      </w:r>
      <w:r>
        <w:t xml:space="preserve"> </w:t>
      </w:r>
      <w:r>
        <w:t xml:space="preserve">inventory. The book opens with the Voice VLAN precedent — DHCP option-based</w:t>
      </w:r>
      <w:r>
        <w:t xml:space="preserve"> </w:t>
      </w:r>
      <w:r>
        <w:t xml:space="preserve">device steering as the earliest production proto-NAC — and closes with the</w:t>
      </w:r>
      <w:r>
        <w:t xml:space="preserve"> </w:t>
      </w:r>
      <w:r>
        <w:t xml:space="preserve">NAC → ZTNA continuum: posture asserted at the port evolving into posture</w:t>
      </w:r>
      <w:r>
        <w:t xml:space="preserve"> </w:t>
      </w:r>
      <w:r>
        <w:t xml:space="preserve">asserted in the token (Part 3).</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34"/>
    <w:bookmarkEnd w:id="35"/>
    <w:bookmarkStart w:id="37" w:name="X405ac1b7341efa237459fac366bded0a1afb81b"/>
    <w:p>
      <w:pPr>
        <w:pStyle w:val="Heading1"/>
      </w:pPr>
      <w:r>
        <w:t xml:space="preserve">9. Part 3 — Certificates &amp; Tokens: Cryptographic Identity</w:t>
      </w:r>
    </w:p>
    <w:bookmarkStart w:id="36"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 — PKI as a naming-plane function (issuance, revocation, CAA, and ACME</w:t>
      </w:r>
      <w:r>
        <w:t xml:space="preserve"> </w:t>
      </w:r>
      <w:r>
        <w:t xml:space="preserve">DNS-01 live in the same substrate as Part 1’s DDI), certificate lifecycle</w:t>
      </w:r>
      <w:r>
        <w:t xml:space="preserve"> </w:t>
      </w:r>
      <w:r>
        <w:t xml:space="preserve">automation with short-lived certificates, token-based identity (OAuth</w:t>
      </w:r>
      <w:r>
        <w:t xml:space="preserve"> </w:t>
      </w:r>
      <w:r>
        <w:t xml:space="preserve">2.0/OIDC, certificate-based authentication, phishing-resistant MFA per BOD</w:t>
      </w:r>
      <w:r>
        <w:t xml:space="preserve"> </w:t>
      </w:r>
      <w:r>
        <w:t xml:space="preserve">25-01), and machine/workload identity. Parts 7–8’s SQL Server authentication</w:t>
      </w:r>
      <w:r>
        <w:t xml:space="preserve"> </w:t>
      </w:r>
      <w:r>
        <w:t xml:space="preserve">modernization is an application of this book’s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36"/>
    <w:bookmarkEnd w:id="37"/>
    <w:bookmarkStart w:id="39" w:name="Xad942f67734931d78957af9cb177c97b21b47d5"/>
    <w:p>
      <w:pPr>
        <w:pStyle w:val="Heading1"/>
      </w:pPr>
      <w:r>
        <w:t xml:space="preserve">10. Part 4 — HRIT and the Identity &amp; Organizational SSOT</w:t>
      </w:r>
    </w:p>
    <w:bookmarkStart w:id="38"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the SaaS-delivered HR system of</w:t>
      </w:r>
      <w:r>
        <w:t xml:space="preserve"> </w:t>
      </w:r>
      <w:r>
        <w:t xml:space="preserve">record (Oracle HCM Cloud) as the authoritative source for worker identity and</w:t>
      </w:r>
      <w:r>
        <w:t xml:space="preserve"> </w:t>
      </w:r>
      <w:r>
        <w:t xml:space="preserve">organizational structure. It covers the joiner/mover/leaver lifecycle driven by</w:t>
      </w:r>
      <w:r>
        <w:t xml:space="preserve"> </w:t>
      </w:r>
      <w:r>
        <w:t xml:space="preserve">HR events, HR-driven provisioning into Entra ID, identifier management, and the</w:t>
      </w:r>
      <w:r>
        <w:t xml:space="preserve"> </w:t>
      </w:r>
      <w:r>
        <w:t xml:space="preserve">organizational SSOT: supervisory hierarchy, positions, and cost centers as</w:t>
      </w:r>
      <w:r>
        <w:t xml:space="preserve"> </w:t>
      </w:r>
      <w:r>
        <w:t xml:space="preserve">queryable records that derive dynamic groups and access packages instead of</w:t>
      </w:r>
      <w:r>
        <w:t xml:space="preserve"> </w:t>
      </w:r>
      <w:r>
        <w:t xml:space="preserve">living in OU trees and drawings. Its integration surface — federation, SCIM</w:t>
      </w:r>
      <w:r>
        <w:t xml:space="preserve"> </w:t>
      </w:r>
      <w:r>
        <w:t xml:space="preserve">provisioning, DNS, and evidence export — is an identity-plane and naming-plane</w:t>
      </w:r>
      <w:r>
        <w:t xml:space="preserve"> </w:t>
      </w:r>
      <w:r>
        <w:t xml:space="preserve">surface, which is why it belongs to the substrate and not to any</w:t>
      </w:r>
      <w:r>
        <w:t xml:space="preserve"> </w:t>
      </w:r>
      <w:r>
        <w:t xml:space="preserve">infrastructure-hosting track.</w:t>
      </w:r>
    </w:p>
    <w:p>
      <w:pPr>
        <w:pStyle w:val="BodyText"/>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38"/>
    <w:bookmarkEnd w:id="39"/>
    <w:bookmarkStart w:id="42" w:name="X10b5b70168cf61c697e46bca4109e68839cb391"/>
    <w:p>
      <w:pPr>
        <w:pStyle w:val="Heading1"/>
      </w:pPr>
      <w:r>
        <w:t xml:space="preserve">11. Part 5 — Network and Identity Modernization: Entra ID + ZTNA + Active Governance Closes 12 NIST Controls</w:t>
      </w:r>
    </w:p>
    <w:bookmarkStart w:id="40"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06"/>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06"/>
        </w:numPr>
      </w:pPr>
      <w:r>
        <w:rPr>
          <w:b/>
          <w:bCs/>
        </w:rPr>
        <w:t xml:space="preserve">Deploy application-aware networking</w:t>
      </w:r>
      <w:r>
        <w:t xml:space="preserve"> </w:t>
      </w:r>
      <w:r>
        <w:t xml:space="preserve">— enforce policy at the application layer, not the IP/port layer</w:t>
      </w:r>
    </w:p>
    <w:p>
      <w:pPr>
        <w:pStyle w:val="Compact"/>
        <w:numPr>
          <w:ilvl w:val="0"/>
          <w:numId w:val="1006"/>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06"/>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40"/>
    <w:bookmarkStart w:id="41"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41"/>
    <w:bookmarkEnd w:id="42"/>
    <w:bookmarkStart w:id="45" w:name="X2d88030fe1371762303048ee6244da6478ed0f7"/>
    <w:p>
      <w:pPr>
        <w:pStyle w:val="Heading1"/>
      </w:pPr>
      <w:r>
        <w:t xml:space="preserve">12. Part 6 — Telecommunications Modernization: SD-WAN + SASE Closes 7 NIST Controls</w:t>
      </w:r>
    </w:p>
    <w:bookmarkStart w:id="43"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43"/>
    <w:bookmarkStart w:id="44"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44"/>
    <w:bookmarkEnd w:id="45"/>
    <w:bookmarkStart w:id="49" w:name="Xd4e84a07e291e418566bcb97aa439fd3597f127"/>
    <w:p>
      <w:pPr>
        <w:pStyle w:val="Heading1"/>
      </w:pPr>
      <w:r>
        <w:t xml:space="preserve">13. Parts 7–9 — SQL Server and Database Architecture</w:t>
      </w:r>
    </w:p>
    <w:bookmarkStart w:id="46"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46"/>
    <w:bookmarkStart w:id="47"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47"/>
    <w:bookmarkStart w:id="48"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48"/>
    <w:bookmarkEnd w:id="49"/>
    <w:bookmarkStart w:id="51"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50"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50"/>
    <w:bookmarkEnd w:id="51"/>
    <w:bookmarkStart w:id="58"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53" name="Picture"/>
            <a:graphic>
              <a:graphicData uri="http://schemas.openxmlformats.org/drawingml/2006/picture">
                <pic:pic>
                  <pic:nvPicPr>
                    <pic:cNvPr descr="figs/es-fig-02-control-closure-chart.png" id="54" name="Picture"/>
                    <pic:cNvPicPr>
                      <a:picLocks noChangeArrowheads="1" noChangeAspect="1"/>
                    </pic:cNvPicPr>
                  </pic:nvPicPr>
                  <pic:blipFill>
                    <a:blip r:embed="rId52"/>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55"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55"/>
    <w:bookmarkStart w:id="56"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56"/>
    <w:bookmarkStart w:id="57"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07"/>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07"/>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07"/>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07"/>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08"/>
        </w:numPr>
      </w:pPr>
      <w:r>
        <w:rPr>
          <w:b/>
          <w:bCs/>
        </w:rPr>
        <w:t xml:space="preserve">InfoBlox WAPI</w:t>
      </w:r>
      <w:r>
        <w:t xml:space="preserve"> </w:t>
      </w:r>
      <w:r>
        <w:t xml:space="preserve">exports all DDI evidence as structured JSON</w:t>
      </w:r>
    </w:p>
    <w:p>
      <w:pPr>
        <w:pStyle w:val="Compact"/>
        <w:numPr>
          <w:ilvl w:val="0"/>
          <w:numId w:val="1008"/>
        </w:numPr>
      </w:pPr>
      <w:r>
        <w:rPr>
          <w:b/>
          <w:bCs/>
        </w:rPr>
        <w:t xml:space="preserve">SASE stack</w:t>
      </w:r>
      <w:r>
        <w:t xml:space="preserve"> </w:t>
      </w:r>
      <w:r>
        <w:t xml:space="preserve">exports per-session telemetry in structured log format</w:t>
      </w:r>
    </w:p>
    <w:p>
      <w:pPr>
        <w:pStyle w:val="Compact"/>
        <w:numPr>
          <w:ilvl w:val="0"/>
          <w:numId w:val="1008"/>
        </w:numPr>
      </w:pPr>
      <w:r>
        <w:rPr>
          <w:b/>
          <w:bCs/>
        </w:rPr>
        <w:t xml:space="preserve">Active Governance control plane</w:t>
      </w:r>
      <w:r>
        <w:t xml:space="preserve"> </w:t>
      </w:r>
      <w:r>
        <w:t xml:space="preserve">generates desired-vs-actual JSON records as its primary output</w:t>
      </w:r>
    </w:p>
    <w:p>
      <w:pPr>
        <w:pStyle w:val="Compact"/>
        <w:numPr>
          <w:ilvl w:val="0"/>
          <w:numId w:val="1008"/>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08"/>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57"/>
    <w:bookmarkEnd w:id="58"/>
    <w:bookmarkStart w:id="64"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59"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59"/>
    <w:bookmarkStart w:id="60"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60"/>
    <w:bookmarkStart w:id="61"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61"/>
    <w:bookmarkStart w:id="62"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62"/>
    <w:bookmarkStart w:id="63"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63"/>
    <w:bookmarkEnd w:id="64"/>
    <w:bookmarkStart w:id="65"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65"/>
    <w:bookmarkStart w:id="71"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67" name="Picture"/>
            <a:graphic>
              <a:graphicData uri="http://schemas.openxmlformats.org/drawingml/2006/picture">
                <pic:pic>
                  <pic:nvPicPr>
                    <pic:cNvPr descr="figs/es-fig-04-sequencing-roadmap.png" id="68" name="Picture"/>
                    <pic:cNvPicPr>
                      <a:picLocks noChangeArrowheads="1" noChangeAspect="1"/>
                    </pic:cNvPicPr>
                  </pic:nvPicPr>
                  <pic:blipFill>
                    <a:blip r:embed="rId66"/>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69" w:name="phased-delivery-roadmap"/>
    <w:p>
      <w:pPr>
        <w:pStyle w:val="Heading2"/>
      </w:pPr>
      <w:r>
        <w:t xml:space="preserve">18.1 Phased Delivery Roadmap</w:t>
      </w:r>
    </w:p>
    <w:p>
      <w:pPr>
        <w:pStyle w:val="TableCaption"/>
      </w:pPr>
      <w:r>
        <w:t xml:space="preserve">Phased Delivery Roadmap — Phase 0 through Phase 6</w:t>
      </w:r>
    </w:p>
    <w:tbl>
      <w:tblPr>
        <w:tblStyle w:val="Table"/>
        <w:tblW w:type="pct" w:w="5000"/>
        <w:tblLayout w:type="fixed"/>
        <w:tblLook w:firstRow="1" w:lastRow="0" w:firstColumn="0" w:lastColumn="0" w:noHBand="0" w:noVBand="0" w:val="0020"/>
        <w:tblCaption w:val="Phased Delivery Roadmap — Phase 0 through Phase 6"/>
      </w:tblPr>
      <w:tblGrid>
        <w:gridCol w:w="1421"/>
        <w:gridCol w:w="2030"/>
        <w:gridCol w:w="1624"/>
        <w:gridCol w:w="2843"/>
      </w:tblGrid>
      <w:tr>
        <w:trPr>
          <w:tblHeader w:val="on"/>
        </w:trPr>
        <w:tc>
          <w:tcPr/>
          <w:p>
            <w:pPr>
              <w:pStyle w:val="Compact"/>
            </w:pPr>
            <w:r>
              <w:t xml:space="preserve">Phase</w:t>
            </w:r>
          </w:p>
        </w:tc>
        <w:tc>
          <w:tcPr/>
          <w:p>
            <w:pPr>
              <w:pStyle w:val="Compact"/>
            </w:pPr>
            <w:r>
              <w:t xml:space="preserve">Timeline</w:t>
            </w:r>
          </w:p>
        </w:tc>
        <w:tc>
          <w:tcPr/>
          <w:p>
            <w:pPr>
              <w:pStyle w:val="Compact"/>
            </w:pPr>
            <w:r>
              <w:t xml:space="preserve">Status</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Part 17 PT/PII templates; Part 18 AT training program; KSI-022 → active; all 29 CR26 KSIs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BOD 26-04 VDR/VER submission (Dec 7); Authorization package filed; OSCAL AP+AR+POAM bundle (29/29 self-assessed, pending 3PAO validation)</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FedRAMP 20x mandatory deadline;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Active</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69"/>
    <w:bookmarkStart w:id="70"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trestle</w:t>
            </w:r>
            <w:r>
              <w:t xml:space="preserve"> </w:t>
            </w:r>
            <w:r>
              <w:t xml:space="preserve">(IBM) or custom Python emitter against OSCAL 1.1 schema</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70"/>
    <w:bookmarkEnd w:id="71"/>
    <w:bookmarkStart w:id="91"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72">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73">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74">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75">
              <w:r>
                <w:rPr>
                  <w:rStyle w:val="Hyperlink"/>
                </w:rPr>
                <w:t xml:space="preserve">Book 04 —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76">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77">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78">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79">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80">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81">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82">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83">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84">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85">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86">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87">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88">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89">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90">
              <w:r>
                <w:rPr>
                  <w:rStyle w:val="Hyperlink"/>
                </w:rPr>
                <w:t xml:space="preserve">Book 19 — Authorization Package and ConMon</w:t>
              </w:r>
            </w:hyperlink>
          </w:p>
        </w:tc>
        <w:tc>
          <w:tcPr/>
          <w:p>
            <w:pPr>
              <w:pStyle w:val="Compact"/>
            </w:pPr>
            <w:r>
              <w:t xml:space="preserve">Part 19: FedRAMP 20x authorization package structure, OSCAL AP+AR+POA&amp;M bundle (29/29 self-assessed, pending 3PAO validation), CA-7 ConMon program, BOD 26-04 VDR/VER submission, AO checklist, day-of-submission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hyperlink" Id="rId72" Target="Book_01_FedAAN_SSA_Landing_Zone_IPAM_FedRAMP.qmd" TargetMode="External" /><Relationship Type="http://schemas.openxmlformats.org/officeDocument/2006/relationships/hyperlink" Id="rId73" Target="Book_02_FedAAN_Network_Access_Control_802_1X.qmd" TargetMode="External" /><Relationship Type="http://schemas.openxmlformats.org/officeDocument/2006/relationships/hyperlink" Id="rId74" Target="Book_03_FedAAN_Certificates_Tokens_Cryptographic_Identity.qmd" TargetMode="External" /><Relationship Type="http://schemas.openxmlformats.org/officeDocument/2006/relationships/hyperlink" Id="rId75" Target="Book_04_FedAAN_HRIT_Identity_Org_SSOT.qmd" TargetMode="External" /><Relationship Type="http://schemas.openxmlformats.org/officeDocument/2006/relationships/hyperlink" Id="rId76" Target="Book_05_FedAAN_Network_Modernization.qmd" TargetMode="External" /><Relationship Type="http://schemas.openxmlformats.org/officeDocument/2006/relationships/hyperlink" Id="rId77" Target="Book_06_FedAAN_Federal_Telecommunications_Modernization.qmd" TargetMode="External" /><Relationship Type="http://schemas.openxmlformats.org/officeDocument/2006/relationships/hyperlink" Id="rId78" Target="Book_07_FedAAN_SQL_Server_Authentication_Modernization.qmd" TargetMode="External" /><Relationship Type="http://schemas.openxmlformats.org/officeDocument/2006/relationships/hyperlink" Id="rId79" Target="Book_08_FedAAN_SQL_Server_Implementation_Guide.qmd" TargetMode="External" /><Relationship Type="http://schemas.openxmlformats.org/officeDocument/2006/relationships/hyperlink" Id="rId80" Target="Book_09_FedAAN_Database_Consolidation_Network_Physics.qmd" TargetMode="External" /><Relationship Type="http://schemas.openxmlformats.org/officeDocument/2006/relationships/hyperlink" Id="rId81" Target="Book_10_FedAAN_Privileged_Access_Management.qmd" TargetMode="External" /><Relationship Type="http://schemas.openxmlformats.org/officeDocument/2006/relationships/hyperlink" Id="rId82" Target="Book_11_FedAAN_Vulnerability_Management.qmd" TargetMode="External" /><Relationship Type="http://schemas.openxmlformats.org/officeDocument/2006/relationships/hyperlink" Id="rId83" Target="Book_12_FedAAN_Data_Protection_Purview.qmd" TargetMode="External" /><Relationship Type="http://schemas.openxmlformats.org/officeDocument/2006/relationships/hyperlink" Id="rId84" Target="Book_13_FedAAN_SIEM_XDR_Detection.qmd" TargetMode="External" /><Relationship Type="http://schemas.openxmlformats.org/officeDocument/2006/relationships/hyperlink" Id="rId85" Target="Book_14_FedAAN_Business_Continuity.qmd" TargetMode="External" /><Relationship Type="http://schemas.openxmlformats.org/officeDocument/2006/relationships/hyperlink" Id="rId86" Target="Book_15_FedAAN_Supply_Chain_Risk_Management.qmd" TargetMode="External" /><Relationship Type="http://schemas.openxmlformats.org/officeDocument/2006/relationships/hyperlink" Id="rId87" Target="Book_16_FedAAN_Program_Management_Governance.qmd" TargetMode="External" /><Relationship Type="http://schemas.openxmlformats.org/officeDocument/2006/relationships/hyperlink" Id="rId88" Target="Book_17_FedAAN_PII_Processing_Transparency.qmd" TargetMode="External" /><Relationship Type="http://schemas.openxmlformats.org/officeDocument/2006/relationships/hyperlink" Id="rId89" Target="Book_18_FedAAN_Cybersecurity_Training_Awareness.qmd" TargetMode="External" /><Relationship Type="http://schemas.openxmlformats.org/officeDocument/2006/relationships/hyperlink" Id="rId90"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72" Target="Book_01_FedAAN_SSA_Landing_Zone_IPAM_FedRAMP.qmd" TargetMode="External" /><Relationship Type="http://schemas.openxmlformats.org/officeDocument/2006/relationships/hyperlink" Id="rId73" Target="Book_02_FedAAN_Network_Access_Control_802_1X.qmd" TargetMode="External" /><Relationship Type="http://schemas.openxmlformats.org/officeDocument/2006/relationships/hyperlink" Id="rId74" Target="Book_03_FedAAN_Certificates_Tokens_Cryptographic_Identity.qmd" TargetMode="External" /><Relationship Type="http://schemas.openxmlformats.org/officeDocument/2006/relationships/hyperlink" Id="rId75" Target="Book_04_FedAAN_HRIT_Identity_Org_SSOT.qmd" TargetMode="External" /><Relationship Type="http://schemas.openxmlformats.org/officeDocument/2006/relationships/hyperlink" Id="rId76" Target="Book_05_FedAAN_Network_Modernization.qmd" TargetMode="External" /><Relationship Type="http://schemas.openxmlformats.org/officeDocument/2006/relationships/hyperlink" Id="rId77" Target="Book_06_FedAAN_Federal_Telecommunications_Modernization.qmd" TargetMode="External" /><Relationship Type="http://schemas.openxmlformats.org/officeDocument/2006/relationships/hyperlink" Id="rId78" Target="Book_07_FedAAN_SQL_Server_Authentication_Modernization.qmd" TargetMode="External" /><Relationship Type="http://schemas.openxmlformats.org/officeDocument/2006/relationships/hyperlink" Id="rId79" Target="Book_08_FedAAN_SQL_Server_Implementation_Guide.qmd" TargetMode="External" /><Relationship Type="http://schemas.openxmlformats.org/officeDocument/2006/relationships/hyperlink" Id="rId80" Target="Book_09_FedAAN_Database_Consolidation_Network_Physics.qmd" TargetMode="External" /><Relationship Type="http://schemas.openxmlformats.org/officeDocument/2006/relationships/hyperlink" Id="rId81" Target="Book_10_FedAAN_Privileged_Access_Management.qmd" TargetMode="External" /><Relationship Type="http://schemas.openxmlformats.org/officeDocument/2006/relationships/hyperlink" Id="rId82" Target="Book_11_FedAAN_Vulnerability_Management.qmd" TargetMode="External" /><Relationship Type="http://schemas.openxmlformats.org/officeDocument/2006/relationships/hyperlink" Id="rId83" Target="Book_12_FedAAN_Data_Protection_Purview.qmd" TargetMode="External" /><Relationship Type="http://schemas.openxmlformats.org/officeDocument/2006/relationships/hyperlink" Id="rId84" Target="Book_13_FedAAN_SIEM_XDR_Detection.qmd" TargetMode="External" /><Relationship Type="http://schemas.openxmlformats.org/officeDocument/2006/relationships/hyperlink" Id="rId85" Target="Book_14_FedAAN_Business_Continuity.qmd" TargetMode="External" /><Relationship Type="http://schemas.openxmlformats.org/officeDocument/2006/relationships/hyperlink" Id="rId86" Target="Book_15_FedAAN_Supply_Chain_Risk_Management.qmd" TargetMode="External" /><Relationship Type="http://schemas.openxmlformats.org/officeDocument/2006/relationships/hyperlink" Id="rId87" Target="Book_16_FedAAN_Program_Management_Governance.qmd" TargetMode="External" /><Relationship Type="http://schemas.openxmlformats.org/officeDocument/2006/relationships/hyperlink" Id="rId88" Target="Book_17_FedAAN_PII_Processing_Transparency.qmd" TargetMode="External" /><Relationship Type="http://schemas.openxmlformats.org/officeDocument/2006/relationships/hyperlink" Id="rId89" Target="Book_18_FedAAN_Cybersecurity_Training_Awareness.qmd" TargetMode="External" /><Relationship Type="http://schemas.openxmlformats.org/officeDocument/2006/relationships/hyperlink" Id="rId90"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2026-07-06T11:46:29Z</dcterms:created>
  <dcterms:modified xsi:type="dcterms:W3CDTF">2026-07-06T11:46:29Z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