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60.png" ContentType="image/png"/>
  <Override PartName="/word/media/rId32.png" ContentType="image/png"/>
  <Override PartName="/word/media/rId50.png" ContentType="image/png"/>
  <Override PartName="/word/media/rId21.png" ContentType="image/png"/>
  <Override PartName="/word/media/rId29.png" ContentType="image/png"/>
  <Override PartName="/word/media/rId41.png" ContentType="image/png"/>
  <Override PartName="/word/media/rId47.png" ContentType="image/png"/>
  <Override PartName="/word/media/rId110.png" ContentType="image/png"/>
  <Override PartName="/word/media/rId64.png" ContentType="image/png"/>
  <Override PartName="/word/media/rId55.png" ContentType="image/png"/>
  <Override PartName="/word/media/rId26.png" ContentType="image/png"/>
  <Override PartName="/word/media/rId72.png" ContentType="image/png"/>
  <Override PartName="/word/media/rId13.png" ContentType="image/png"/>
  <Override PartName="/word/media/rId99.png" ContentType="image/png"/>
  <Override PartName="/word/media/rId18.png" ContentType="image/png"/>
  <Override PartName="/word/media/rId44.png" ContentType="image/png"/>
  <Override PartName="/word/media/rId124.png" ContentType="image/png"/>
  <Override PartName="/word/media/rId107.png" ContentType="image/png"/>
  <Override PartName="/word/media/rId81.svg" ContentType="image/svg+xml"/>
  <Override PartName="/word/media/rId8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01 — Federal Agency Cloud Landing Zone</w:t>
      </w:r>
    </w:p>
    <w:p>
      <w:pPr>
        <w:pStyle w:val="Subtitle"/>
      </w:pPr>
      <w:r>
        <w:t xml:space="preserve">IPAM · SDN · DNS · PKI · Zero Trust — InfoBlox DDI Alignment to NIST, CISA, and FedRAMP</w:t>
      </w:r>
    </w:p>
    <w:p>
      <w:pPr>
        <w:pStyle w:val="Author"/>
      </w:pPr>
      <w:r>
        <w:t xml:space="preserve">SSA Cloud Services Team</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executive-summary"/>
    <w:p>
      <w:pPr>
        <w:pStyle w:val="Heading2"/>
      </w:pPr>
      <w:r>
        <w:t xml:space="preserve">Executive Summary</w:t>
      </w:r>
    </w:p>
    <w:p>
      <w:pPr>
        <w:pStyle w:val="FirstParagraph"/>
      </w:pPr>
      <w:r>
        <w:t xml:space="preserve">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pPr>
        <w:pStyle w:val="BodyText"/>
      </w:pPr>
      <w:r>
        <w:rPr>
          <w:b/>
          <w:bCs/>
        </w:rPr>
        <w:t xml:space="preserve">InfoBlox DDI</w:t>
      </w:r>
      <w:r>
        <w:t xml:space="preserve"> </w:t>
      </w:r>
      <w:r>
        <w:t xml:space="preserve">— the market-leading platform for DNS, DHCP, and IP Address Management — solves all four problems from a single FedRAMP-authorized control plane (CSO FR2017257053, authorized January 2023, hosted on AWS GovCloud).</w:t>
      </w:r>
    </w:p>
    <w:p>
      <w:pPr>
        <w:pStyle w:val="BodyText"/>
      </w:pPr>
      <w:r>
        <w:rPr>
          <w:b/>
          <w:bCs/>
        </w:rPr>
        <w:t xml:space="preserve">The three business outcomes this document demonstrates:</w:t>
      </w:r>
    </w:p>
    <w:p>
      <w:pPr>
        <w:pStyle w:val="BodyText"/>
      </w:pPr>
      <w:r>
        <w:rPr>
          <w:b/>
          <w:bCs/>
        </w:rPr>
        <w:t xml:space="preserve">1. Operational Risk Elimination.</w:t>
      </w:r>
      <w:r>
        <w:t xml:space="preserve"> </w:t>
      </w:r>
      <w:r>
        <w:t xml:space="preserve">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pPr>
        <w:pStyle w:val="BodyText"/>
      </w:pPr>
      <w:r>
        <w:rPr>
          <w:b/>
          <w:bCs/>
        </w:rPr>
        <w:t xml:space="preserve">2. Continuous FedRAMP Compliance.</w:t>
      </w:r>
      <w:r>
        <w:t xml:space="preserve"> </w:t>
      </w:r>
      <w:r>
        <w:t xml:space="preserve">Infoblox is the only DDI platform with its own FedRAMP Moderate CSO authorization, meaning SSA inherits the DDI layer controls rather than re-proving them. Evidence for SC-20/21 (DNSSEC), CM-8 (inventory), IA-5(2) (certificates), AU-12 (audit), and IR-4 (incident response) is generated continuously and automatically — not assembled manually for annual assessments.</w:t>
      </w:r>
    </w:p>
    <w:p>
      <w:pPr>
        <w:pStyle w:val="BodyText"/>
      </w:pPr>
      <w:r>
        <w:rPr>
          <w:b/>
          <w:bCs/>
        </w:rPr>
        <w:t xml:space="preserve">3. M365 GCC Boundary Enforcement.</w:t>
      </w:r>
      <w:r>
        <w:t xml:space="preserve"> </w:t>
      </w:r>
      <w:r>
        <w:t xml:space="preserve">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pPr>
        <w:pStyle w:val="BodyText"/>
      </w:pPr>
      <w:r>
        <w:rPr>
          <w:b/>
          <w:bCs/>
        </w:rPr>
        <w:t xml:space="preserve">Vendor relationships:</w:t>
      </w:r>
      <w:r>
        <w:t xml:space="preserve"> </w:t>
      </w:r>
      <w:r>
        <w:t xml:space="preserve">InfoBlox has formal technology partnerships with all three of SSA’s primary cloud vendors. InfoBlox BloxOne’s own FedRAMP-authorized service runs</w:t>
      </w:r>
      <w:r>
        <w:t xml:space="preserve"> </w:t>
      </w:r>
      <w:r>
        <w:rPr>
          <w:i/>
          <w:iCs/>
        </w:rPr>
        <w:t xml:space="preserve">on</w:t>
      </w:r>
      <w:r>
        <w:t xml:space="preserve"> </w:t>
      </w:r>
      <w:r>
        <w:t xml:space="preserve">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pPr>
        <w:pStyle w:val="BodyText"/>
      </w:pPr>
      <w:r>
        <w:rPr>
          <w:b/>
          <w:bCs/>
        </w:rPr>
        <w:t xml:space="preserve">The recommendation is clear: procure InfoBlox DDI via the AWS GovCloud Marketplace</w:t>
      </w:r>
      <w:r>
        <w:t xml:space="preserve"> </w:t>
      </w:r>
      <w:r>
        <w:t xml:space="preserve">(no separate IDIQ required), deploy Grid Members in each environment, and build the landing zone DNS and IPAM layer on InfoBlox from day one. Every workload deployed after that point inherits FedRAMP-compliant DNS, IP management, and certificate lifecycle automatically.</w:t>
      </w:r>
    </w:p>
    <w:p>
      <w:r>
        <w:pict>
          <v:rect style="width:0;height:1.5pt" o:hralign="center" o:hrstd="t" o:hr="t"/>
        </w:pict>
      </w:r>
    </w:p>
    <w:bookmarkEnd w:id="9"/>
    <w:bookmarkStart w:id="25" w:name="sec-landing-zone"/>
    <w:p>
      <w:pPr>
        <w:pStyle w:val="Heading2"/>
      </w:pPr>
      <w:r>
        <w:t xml:space="preserve">1 What Is a Federal Cloud Landing Zone?</w:t>
      </w:r>
    </w:p>
    <w:p>
      <w:pPr>
        <w:pStyle w:val="FirstParagraph"/>
      </w:pPr>
      <w:r>
        <w:t xml:space="preserve">A Cloud Landing Zone is the foundational, pre-configured environment that a federal agency provisions</w:t>
      </w:r>
      <w:r>
        <w:t xml:space="preserve"> </w:t>
      </w:r>
      <w:r>
        <w:rPr>
          <w:i/>
          <w:iCs/>
        </w:rPr>
        <w:t xml:space="preserve">before</w:t>
      </w:r>
      <w:r>
        <w:t xml:space="preserve"> </w:t>
      </w:r>
      <w:r>
        <w:t xml:space="preserve">any workload is deployed. It establishes the guardrails — network topology, identity controls, logging pipelines, encryption policies, and security baselines — that every subsequent workload inherits automatically.</w:t>
      </w:r>
    </w:p>
    <w:p>
      <w:pPr>
        <w:pStyle w:val="BodyText"/>
      </w:pPr>
      <w:r>
        <w:t xml:space="preserve">For SSA operating under FedRAMP Moderate, the landing zone must satisfy four overlapping frameworks simultaneously:</w:t>
      </w:r>
    </w:p>
    <w:p>
      <w:pPr>
        <w:pStyle w:val="Compact"/>
        <w:numPr>
          <w:ilvl w:val="0"/>
          <w:numId w:val="1001"/>
        </w:numPr>
      </w:pPr>
      <w:r>
        <w:rPr>
          <w:b/>
          <w:bCs/>
        </w:rPr>
        <w:t xml:space="preserve">NIST SP 800-53 Rev 5</w:t>
      </w:r>
      <w:r>
        <w:t xml:space="preserve"> </w:t>
      </w:r>
      <w:r>
        <w:t xml:space="preserve">— the control catalog from which FedRAMP Moderate baselines are drawn</w:t>
      </w:r>
    </w:p>
    <w:p>
      <w:pPr>
        <w:pStyle w:val="Compact"/>
        <w:numPr>
          <w:ilvl w:val="0"/>
          <w:numId w:val="1001"/>
        </w:numPr>
      </w:pPr>
      <w:r>
        <w:rPr>
          <w:b/>
          <w:bCs/>
        </w:rPr>
        <w:t xml:space="preserve">CISA Zero Trust Maturity Model v2.0</w:t>
      </w:r>
      <w:r>
        <w:t xml:space="preserve"> </w:t>
      </w:r>
      <w:r>
        <w:t xml:space="preserve">— five pillars with three cross-cutting capabilities</w:t>
      </w:r>
    </w:p>
    <w:p>
      <w:pPr>
        <w:pStyle w:val="Compact"/>
        <w:numPr>
          <w:ilvl w:val="0"/>
          <w:numId w:val="1001"/>
        </w:numPr>
      </w:pPr>
      <w:r>
        <w:rPr>
          <w:b/>
          <w:bCs/>
        </w:rPr>
        <w:t xml:space="preserve">FedRAMP Moderate</w:t>
      </w:r>
      <w:r>
        <w:t xml:space="preserve"> </w:t>
      </w:r>
      <w:r>
        <w:t xml:space="preserve">— boundary definition, continuous monitoring, evidence packaging</w:t>
      </w:r>
    </w:p>
    <w:p>
      <w:pPr>
        <w:pStyle w:val="Compact"/>
        <w:numPr>
          <w:ilvl w:val="0"/>
          <w:numId w:val="1001"/>
        </w:numPr>
      </w:pPr>
      <w:r>
        <w:rPr>
          <w:b/>
          <w:bCs/>
        </w:rPr>
        <w:t xml:space="preserve">FedRAMP 20x Consolidated Rules (2026)</w:t>
      </w:r>
      <w:r>
        <w:t xml:space="preserve"> </w:t>
      </w:r>
      <w:r>
        <w:t xml:space="preserve">— automated, machine-readable compliance evidence enforced by infrastructure-as-code; Class A/B/C certification pipelines; mandatory January 1, 2027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opt/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FedRAMP 20x Consolidated Rules — June 25, 2026:</w:t>
            </w:r>
            <w:r>
              <w:t xml:space="preserve"> </w:t>
            </w:r>
            <w: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w:t>
            </w:r>
            <w:r>
              <w:t xml:space="preserve"> </w:t>
            </w:r>
            <w:r>
              <w:rPr>
                <w:b/>
                <w:bCs/>
              </w:rPr>
              <w:t xml:space="preserve">January 1, 2027</w:t>
            </w:r>
            <w:r>
              <w:t xml:space="preserve">. Machine-readable structured rules are available in JSON format via GitHub for AI agent integration. InfoBlox DDI’s WAPI REST interface delivers machine-readable KSI evidence — the exact format the 20x framework requires — without manual assembly.</w:t>
            </w:r>
          </w:p>
          <w:p/>
        </w:tc>
      </w:tr>
    </w:tbl>
    <w:p>
      <w:pPr>
        <w:pStyle w:val="CaptionedFigure"/>
      </w:pPr>
      <w:r>
        <w:drawing>
          <wp:inline>
            <wp:extent cx="5334000" cy="2963333"/>
            <wp:effectExtent b="0" l="0" r="0" t="0"/>
            <wp:docPr descr="FedRAMP 20x Consolidated Rules for 2026 — Class Timelines and Key Dates" title="" id="14" name="Picture"/>
            <a:graphic>
              <a:graphicData uri="http://schemas.openxmlformats.org/drawingml/2006/picture">
                <pic:pic>
                  <pic:nvPicPr>
                    <pic:cNvPr descr="figs/lz-fig-10-fedramp-20x.png" id="15" name="Picture"/>
                    <pic:cNvPicPr>
                      <a:picLocks noChangeArrowheads="1" noChangeAspect="1"/>
                    </pic:cNvPicPr>
                  </pic:nvPicPr>
                  <pic:blipFill>
                    <a:blip r:embed="rId1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FedRAMP 20x Consolidated Rules for 2026 — Class Timelines and Key Dates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important.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Core Insight:</w:t>
            </w:r>
            <w:r>
              <w:t xml:space="preserve"> </w:t>
            </w:r>
            <w:r>
              <w:t xml:space="preserve">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tc>
      </w:tr>
    </w:tbl>
    <w:bookmarkStart w:id="24" w:name="sec-scope"/>
    <w:p>
      <w:pPr>
        <w:pStyle w:val="Heading3"/>
      </w:pPr>
      <w:r>
        <w:t xml:space="preserve">1.1 SSA’s Multi-Cloud Landing Zone Scope</w:t>
      </w:r>
    </w:p>
    <w:p>
      <w:pPr>
        <w:pStyle w:val="CaptionedFigure"/>
      </w:pPr>
      <w:r>
        <w:drawing>
          <wp:inline>
            <wp:extent cx="5334000" cy="2963333"/>
            <wp:effectExtent b="0" l="0" r="0" t="0"/>
            <wp:docPr descr="Four Environments — Blind Islands vs. Unified InfoBlox Visibility" title="" id="19" name="Picture"/>
            <a:graphic>
              <a:graphicData uri="http://schemas.openxmlformats.org/drawingml/2006/picture">
                <pic:pic>
                  <pic:nvPicPr>
                    <pic:cNvPr descr="figs/lz-fig-12-four-env.png" id="20" name="Picture"/>
                    <pic:cNvPicPr>
                      <a:picLocks noChangeArrowheads="1" noChangeAspect="1"/>
                    </pic:cNvPicPr>
                  </pic:nvPicPr>
                  <pic:blipFill>
                    <a:blip r:embed="rId1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Four Environments — Blind Islands vs. Unified InfoBlox Visibility</w:t>
      </w:r>
    </w:p>
    <w:p>
      <w:pPr>
        <w:pStyle w:val="CaptionedFigure"/>
      </w:pPr>
      <w:r>
        <w:drawing>
          <wp:inline>
            <wp:extent cx="5334000" cy="3111500"/>
            <wp:effectExtent b="0" l="0" r="0" t="0"/>
            <wp:docPr descr="InfoBlox DDI as the Unified Control Plane for SSA’s Four-Environment Landing Zone" title="" id="22" name="Picture"/>
            <a:graphic>
              <a:graphicData uri="http://schemas.openxmlformats.org/drawingml/2006/picture">
                <pic:pic>
                  <pic:nvPicPr>
                    <pic:cNvPr descr="figs/lz-fig-01-control-hub.png" id="23" name="Picture"/>
                    <pic:cNvPicPr>
                      <a:picLocks noChangeArrowheads="1" noChangeAspect="1"/>
                    </pic:cNvPicPr>
                  </pic:nvPicPr>
                  <pic:blipFill>
                    <a:blip r:embed="rId21"/>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InfoBlox DDI as the Unified Control Plane for SSA’s Four-Environment Landing Zone</w:t>
      </w:r>
    </w:p>
    <w:p>
      <w:pPr>
        <w:pStyle w:val="BodyText"/>
      </w:pPr>
      <w:r>
        <w:t xml:space="preserve">SSA’s landing zone spans four discrete cloud environments that must behave as a single logical security domain:</w:t>
      </w:r>
    </w:p>
    <w:p>
      <w:pPr>
        <w:pStyle w:val="TableCaption"/>
      </w:pPr>
      <w:r>
        <w:t xml:space="preserve">SSA Multi-Cloud Environments</w:t>
      </w:r>
    </w:p>
    <w:tbl>
      <w:tblPr>
        <w:tblStyle w:val="Table"/>
        <w:tblW w:type="pct" w:w="5000"/>
        <w:tblLayout w:type="fixed"/>
        <w:tblLook w:firstRow="1" w:lastRow="0" w:firstColumn="0" w:lastColumn="0" w:noHBand="0" w:noVBand="0" w:val="0020"/>
        <w:tblCaption w:val="SSA Multi-Cloud Environments"/>
      </w:tblPr>
      <w:tblGrid>
        <w:gridCol w:w="1584"/>
        <w:gridCol w:w="1584"/>
        <w:gridCol w:w="1584"/>
        <w:gridCol w:w="1584"/>
        <w:gridCol w:w="1584"/>
      </w:tblGrid>
      <w:tr>
        <w:trPr>
          <w:tblHeader w:val="on"/>
        </w:trPr>
        <w:tc>
          <w:tcPr/>
          <w:p>
            <w:pPr>
              <w:pStyle w:val="Compact"/>
            </w:pPr>
            <w:r>
              <w:t xml:space="preserve">Environment</w:t>
            </w:r>
          </w:p>
        </w:tc>
        <w:tc>
          <w:tcPr/>
          <w:p>
            <w:pPr>
              <w:pStyle w:val="Compact"/>
            </w:pPr>
            <w:r>
              <w:t xml:space="preserve">Platform</w:t>
            </w:r>
          </w:p>
        </w:tc>
        <w:tc>
          <w:tcPr/>
          <w:p>
            <w:pPr>
              <w:pStyle w:val="Compact"/>
            </w:pPr>
            <w:r>
              <w:t xml:space="preserve">SDN Technology</w:t>
            </w:r>
          </w:p>
        </w:tc>
        <w:tc>
          <w:tcPr/>
          <w:p>
            <w:pPr>
              <w:pStyle w:val="Compact"/>
            </w:pPr>
            <w:r>
              <w:t xml:space="preserve">DHCP/IP Model</w:t>
            </w:r>
          </w:p>
        </w:tc>
        <w:tc>
          <w:tcPr/>
          <w:p>
            <w:pPr>
              <w:pStyle w:val="Compact"/>
            </w:pPr>
            <w:r>
              <w:t xml:space="preserve">FedRAMP Boundary</w:t>
            </w:r>
          </w:p>
        </w:tc>
      </w:tr>
      <w:tr>
        <w:tc>
          <w:tcPr/>
          <w:p>
            <w:pPr>
              <w:pStyle w:val="Compact"/>
            </w:pPr>
            <w:r>
              <w:t xml:space="preserve">On-Premises DC</w:t>
            </w:r>
          </w:p>
        </w:tc>
        <w:tc>
          <w:tcPr/>
          <w:p>
            <w:pPr>
              <w:pStyle w:val="Compact"/>
            </w:pPr>
            <w:r>
              <w:t xml:space="preserve">VMware VCF / ESXi</w:t>
            </w:r>
          </w:p>
        </w:tc>
        <w:tc>
          <w:tcPr/>
          <w:p>
            <w:pPr>
              <w:pStyle w:val="Compact"/>
            </w:pPr>
            <w:r>
              <w:t xml:space="preserve">NSX-T overlay (VXLAN/Geneve)</w:t>
            </w:r>
          </w:p>
        </w:tc>
        <w:tc>
          <w:tcPr/>
          <w:p>
            <w:pPr>
              <w:pStyle w:val="Compact"/>
            </w:pPr>
            <w:r>
              <w:t xml:space="preserve">NSX-T DHCP Server Profiles on T1/T0 Gateways</w:t>
            </w:r>
          </w:p>
        </w:tc>
        <w:tc>
          <w:tcPr/>
          <w:p>
            <w:pPr>
              <w:pStyle w:val="Compact"/>
            </w:pPr>
            <w:r>
              <w:t xml:space="preserve">Agency ATO</w:t>
            </w:r>
          </w:p>
        </w:tc>
      </w:tr>
      <w:tr>
        <w:tc>
          <w:tcPr/>
          <w:p>
            <w:pPr>
              <w:pStyle w:val="Compact"/>
            </w:pPr>
            <w:r>
              <w:t xml:space="preserve">Azure Government GCC</w:t>
            </w:r>
          </w:p>
        </w:tc>
        <w:tc>
          <w:tcPr/>
          <w:p>
            <w:pPr>
              <w:pStyle w:val="Compact"/>
            </w:pPr>
            <w:r>
              <w:t xml:space="preserve">Microsoft Azure</w:t>
            </w:r>
          </w:p>
        </w:tc>
        <w:tc>
          <w:tcPr/>
          <w:p>
            <w:pPr>
              <w:pStyle w:val="Compact"/>
            </w:pPr>
            <w:r>
              <w:t xml:space="preserve">Azure VNet (SDN fabric, no broadcast)</w:t>
            </w:r>
          </w:p>
        </w:tc>
        <w:tc>
          <w:tcPr/>
          <w:p>
            <w:pPr>
              <w:pStyle w:val="Compact"/>
            </w:pPr>
            <w:r>
              <w:t xml:space="preserve">Azure fabric assigns IPs; DHCP is abstracted away</w:t>
            </w:r>
          </w:p>
        </w:tc>
        <w:tc>
          <w:tcPr/>
          <w:p>
            <w:pPr>
              <w:pStyle w:val="Compact"/>
            </w:pPr>
            <w:r>
              <w:t xml:space="preserve">Azure Government FedRAMP High</w:t>
            </w:r>
          </w:p>
        </w:tc>
      </w:tr>
      <w:tr>
        <w:tc>
          <w:tcPr/>
          <w:p>
            <w:pPr>
              <w:pStyle w:val="Compact"/>
            </w:pPr>
            <w:r>
              <w:t xml:space="preserve">AWS GovCloud</w:t>
            </w:r>
          </w:p>
        </w:tc>
        <w:tc>
          <w:tcPr/>
          <w:p>
            <w:pPr>
              <w:pStyle w:val="Compact"/>
            </w:pPr>
            <w:r>
              <w:t xml:space="preserve">Amazon AWS</w:t>
            </w:r>
          </w:p>
        </w:tc>
        <w:tc>
          <w:tcPr/>
          <w:p>
            <w:pPr>
              <w:pStyle w:val="Compact"/>
            </w:pPr>
            <w:r>
              <w:t xml:space="preserve">VPC with ENI/Nitro hypervisor</w:t>
            </w:r>
          </w:p>
        </w:tc>
        <w:tc>
          <w:tcPr/>
          <w:p>
            <w:pPr>
              <w:pStyle w:val="Compact"/>
            </w:pPr>
            <w:r>
              <w:t xml:space="preserve">VPC DHCP Options Sets; EC2 metadata service</w:t>
            </w:r>
          </w:p>
        </w:tc>
        <w:tc>
          <w:tcPr/>
          <w:p>
            <w:pPr>
              <w:pStyle w:val="Compact"/>
            </w:pPr>
            <w:r>
              <w:t xml:space="preserve">AWS GovCloud FedRAMP High</w:t>
            </w:r>
          </w:p>
        </w:tc>
      </w:tr>
      <w:tr>
        <w:tc>
          <w:tcPr/>
          <w:p>
            <w:pPr>
              <w:pStyle w:val="Compact"/>
            </w:pPr>
            <w:r>
              <w:t xml:space="preserve">Oracle Cloud OCI (OPM HRIT)</w:t>
            </w:r>
          </w:p>
        </w:tc>
        <w:tc>
          <w:tcPr/>
          <w:p>
            <w:pPr>
              <w:pStyle w:val="Compact"/>
            </w:pPr>
            <w:r>
              <w:t xml:space="preserve">Oracle OCI</w:t>
            </w:r>
          </w:p>
        </w:tc>
        <w:tc>
          <w:tcPr/>
          <w:p>
            <w:pPr>
              <w:pStyle w:val="Compact"/>
            </w:pPr>
            <w:r>
              <w:t xml:space="preserve">VCN with VNIC overlay</w:t>
            </w:r>
          </w:p>
        </w:tc>
        <w:tc>
          <w:tcPr/>
          <w:p>
            <w:pPr>
              <w:pStyle w:val="Compact"/>
            </w:pPr>
            <w:r>
              <w:t xml:space="preserve">OCI DHCP options; instance metadata at 169.254.169.254</w:t>
            </w:r>
          </w:p>
        </w:tc>
        <w:tc>
          <w:tcPr/>
          <w:p>
            <w:pPr>
              <w:pStyle w:val="Compact"/>
            </w:pPr>
            <w:r>
              <w:t xml:space="preserve">OPM ATO (external)</w:t>
            </w:r>
          </w:p>
        </w:tc>
      </w:tr>
    </w:tbl>
    <w:p>
      <w:pPr>
        <w:pStyle w:val="BodyText"/>
      </w:pPr>
      <w:r>
        <w:t xml:space="preserve">The critical observation:</w:t>
      </w:r>
      <w:r>
        <w:t xml:space="preserve"> </w:t>
      </w:r>
      <w:r>
        <w:rPr>
          <w:b/>
          <w:bCs/>
        </w:rPr>
        <w:t xml:space="preserve">none of these four environments uses traditional broadcast DHCP.</w:t>
      </w:r>
      <w:r>
        <w:t xml:space="preserve"> </w:t>
      </w:r>
      <w:r>
        <w:t xml:space="preserve">Each uses a form of SDN where IP address assignment is managed by the hypervisor fabric — not a classic DHCP server. Without a unified IPAM overlay, these four IP spaces are opaque to each other and to SSA’s security operations center.</w:t>
      </w:r>
    </w:p>
    <w:p>
      <w:r>
        <w:pict>
          <v:rect style="width:0;height:1.5pt" o:hralign="center" o:hrstd="t" o:hr="t"/>
        </w:pict>
      </w:r>
    </w:p>
    <w:bookmarkEnd w:id="24"/>
    <w:bookmarkEnd w:id="25"/>
    <w:bookmarkStart w:id="39" w:name="sec-sdn"/>
    <w:p>
      <w:pPr>
        <w:pStyle w:val="Heading2"/>
      </w:pPr>
      <w:r>
        <w:t xml:space="preserve">2 SDN and the End of Traditional DHCP</w:t>
      </w:r>
    </w:p>
    <w:p>
      <w:pPr>
        <w:pStyle w:val="CaptionedFigure"/>
      </w:pPr>
      <w:r>
        <w:drawing>
          <wp:inline>
            <wp:extent cx="5334000" cy="2963333"/>
            <wp:effectExtent b="0" l="0" r="0" t="0"/>
            <wp:docPr descr="DNS Query Journey: InfoBlox RPZ Enforcement Gate" title="" id="27" name="Picture"/>
            <a:graphic>
              <a:graphicData uri="http://schemas.openxmlformats.org/drawingml/2006/picture">
                <pic:pic>
                  <pic:nvPicPr>
                    <pic:cNvPr descr="figs/lz-fig-08-dns-journey.png" id="28" name="Picture"/>
                    <pic:cNvPicPr>
                      <a:picLocks noChangeArrowheads="1" noChangeAspect="1"/>
                    </pic:cNvPicPr>
                  </pic:nvPicPr>
                  <pic:blipFill>
                    <a:blip r:embed="rId2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DNS Query Journey: InfoBlox RPZ Enforcement Gate</w:t>
      </w:r>
    </w:p>
    <w:p>
      <w:pPr>
        <w:pStyle w:val="CaptionedFigure"/>
      </w:pPr>
      <w:r>
        <w:drawing>
          <wp:inline>
            <wp:extent cx="5334000" cy="2844800"/>
            <wp:effectExtent b="0" l="0" r="0" t="0"/>
            <wp:docPr descr="SDN Replaces Broadcast DHCP — InfoBlox Restores Enterprise Visibility" title="" id="30" name="Picture"/>
            <a:graphic>
              <a:graphicData uri="http://schemas.openxmlformats.org/drawingml/2006/picture">
                <pic:pic>
                  <pic:nvPicPr>
                    <pic:cNvPr descr="figs/lz-fig-02-sdn-dhcp.png" id="31" name="Picture"/>
                    <pic:cNvPicPr>
                      <a:picLocks noChangeArrowheads="1" noChangeAspect="1"/>
                    </pic:cNvPicPr>
                  </pic:nvPicPr>
                  <pic:blipFill>
                    <a:blip r:embed="rId2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SDN Replaces Broadcast DHCP — InfoBlox Restores Enterprise Visibility</w:t>
      </w:r>
    </w:p>
    <w:p>
      <w:pPr>
        <w:pStyle w:val="BodyText"/>
      </w:pPr>
      <w:r>
        <w:t xml:space="preserve">Traditional DHCP (RFC 2131) depends on Layer 2 broadcast. This model fundamentally breaks in Software Defined Networking environments because SDN uses overlay protocols (VXLAN, Geneve, STT) that operate at Layer 3 and suppress Layer 2 broadcasts by design.</w:t>
      </w:r>
    </w:p>
    <w:bookmarkStart w:id="35" w:name="sec-nsx"/>
    <w:p>
      <w:pPr>
        <w:pStyle w:val="Heading3"/>
      </w:pPr>
      <w:r>
        <w:t xml:space="preserve">2.1 VMware NSX-T: DHCP Server Profiles and VCF 9.1 Native Integration</w:t>
      </w:r>
    </w:p>
    <w:p>
      <w:pPr>
        <w:pStyle w:val="FirstParagraph"/>
      </w:pPr>
      <w:r>
        <w:t xml:space="preserve">VMware NSX-T replaces broadcast DHCP with</w:t>
      </w:r>
      <w:r>
        <w:t xml:space="preserve"> </w:t>
      </w:r>
      <w:r>
        <w:rPr>
          <w:b/>
          <w:bCs/>
        </w:rPr>
        <w:t xml:space="preserve">DHCP Server Profiles</w:t>
      </w:r>
      <w:r>
        <w:t xml:space="preserve"> </w:t>
      </w:r>
      <w:r>
        <w:t xml:space="preserve">attached to T1 Gateways. The NSX-T control plane intercepts DHCP requests at the logical switch level — the request never hits the physical network. Traditional DHCP servers are completely bypassed.</w:t>
      </w:r>
    </w:p>
    <w:p>
      <w:pPr>
        <w:pStyle w:val="BodyText"/>
      </w:pPr>
      <w:r>
        <w:t xml:space="preserve">VMware Cloud Foundation</w:t>
      </w:r>
      <w:r>
        <w:t xml:space="preserve"> </w:t>
      </w:r>
      <w:r>
        <w:rPr>
          <w:b/>
          <w:bCs/>
        </w:rPr>
        <w:t xml:space="preserve">9.1</w:t>
      </w:r>
      <w:r>
        <w:t xml:space="preserve"> </w:t>
      </w:r>
      <w:r>
        <w:t xml:space="preserve">(released May 2026) introduced native InfoBlox DDI integration as a first-class feature:</w:t>
      </w:r>
    </w:p>
    <w:p>
      <w:pPr>
        <w:pStyle w:val="Compact"/>
        <w:numPr>
          <w:ilvl w:val="0"/>
          <w:numId w:val="1002"/>
        </w:numPr>
      </w:pPr>
      <w:r>
        <w:t xml:space="preserve">VCF Automation tenant requests a new network segment</w:t>
      </w:r>
    </w:p>
    <w:p>
      <w:pPr>
        <w:pStyle w:val="Compact"/>
        <w:numPr>
          <w:ilvl w:val="0"/>
          <w:numId w:val="1002"/>
        </w:numPr>
      </w:pPr>
      <w:r>
        <w:t xml:space="preserve">VCF background service calls InfoBlox NIOS WAPI or BloxOne REST API to reserve an IP block</w:t>
      </w:r>
    </w:p>
    <w:p>
      <w:pPr>
        <w:pStyle w:val="Compact"/>
        <w:numPr>
          <w:ilvl w:val="0"/>
          <w:numId w:val="1002"/>
        </w:numPr>
      </w:pPr>
      <w:r>
        <w:t xml:space="preserve">NSX-T creates the logical segment using the InfoBlox-allocated CIDR</w:t>
      </w:r>
    </w:p>
    <w:p>
      <w:pPr>
        <w:pStyle w:val="Compact"/>
        <w:numPr>
          <w:ilvl w:val="0"/>
          <w:numId w:val="1002"/>
        </w:numPr>
      </w:pPr>
      <w:r>
        <w:t xml:space="preserve">InfoBlox records the segment name, CIDR, VLAN/VNI, and tenant as extensible attributes</w:t>
      </w:r>
    </w:p>
    <w:p>
      <w:pPr>
        <w:pStyle w:val="Compact"/>
        <w:numPr>
          <w:ilvl w:val="0"/>
          <w:numId w:val="1002"/>
        </w:numPr>
      </w:pPr>
      <w:r>
        <w:t xml:space="preserve">When VMs deploy, NSX-T DHCP assigns IPs; InfoBlox receives assignments via the IPAM plugin</w:t>
      </w:r>
    </w:p>
    <w:p>
      <w:pPr>
        <w:pStyle w:val="Compact"/>
        <w:numPr>
          <w:ilvl w:val="0"/>
          <w:numId w:val="1002"/>
        </w:numPr>
      </w:pPr>
      <w:r>
        <w:t xml:space="preserve">DNS A/PTR records for each VM are created automatically — no manual DNS entry required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VCF 9.1 Significance:</w:t>
            </w:r>
            <w:r>
              <w:t xml:space="preserve"> </w:t>
            </w:r>
            <w:r>
              <w:t xml:space="preserve">Before VCF 9.1, NSX-T InfoBlox integration required custom scripts and manual configuration. VCF 9.1 makes InfoBlox the native, default IPAM backend for VMware Cloud Foundation — meaning every new VCF deployment at SSA can have InfoBlox IPAM built in from day one.</w:t>
            </w:r>
          </w:p>
          <w:p/>
        </w:tc>
      </w:tr>
    </w:tbl>
    <w:bookmarkEnd w:id="35"/>
    <w:bookmarkStart w:id="36" w:name="sec-azure"/>
    <w:p>
      <w:pPr>
        <w:pStyle w:val="Heading3"/>
      </w:pPr>
      <w:r>
        <w:t xml:space="preserve">2.2 Microsoft Azure Government: The Fabric Replaces DHCP</w:t>
      </w:r>
    </w:p>
    <w:p>
      <w:pPr>
        <w:pStyle w:val="FirstParagraph"/>
      </w:pPr>
      <w:r>
        <w:t xml:space="preserve">Azure Virtual Networks do not use DHCP in the traditional sense. When a VM is deployed, the Azure hypervisor fabric directly assigns the IP — the VM receives the IP via a synthetic DHCP response injected by the Azure host agent. There is no DHCP broadcast.</w:t>
      </w:r>
    </w:p>
    <w:p>
      <w:pPr>
        <w:pStyle w:val="BodyText"/>
      </w:pPr>
      <w:r>
        <w:t xml:space="preserve">Azure reserves five IP addresses in every subnet that cannot be assigned (x.x.x.0 network, x.x.x.1 gateway, x.x.x.2–3 Azure DNS, x.x.x.255 broadcast). Beyond these, IP assignment is managed entirely by the Azure control plane.</w:t>
      </w:r>
    </w:p>
    <w:p>
      <w:pPr>
        <w:pStyle w:val="BodyText"/>
      </w:pPr>
      <w:r>
        <w:t xml:space="preserve">InfoBlox’s</w:t>
      </w:r>
      <w:r>
        <w:t xml:space="preserve"> </w:t>
      </w:r>
      <w:r>
        <w:rPr>
          <w:b/>
          <w:bCs/>
        </w:rPr>
        <w:t xml:space="preserve">Azure connector</w:t>
      </w:r>
      <w:r>
        <w:t xml:space="preserve"> </w:t>
      </w:r>
      <w:r>
        <w:t xml:space="preserve">continuously pulls VNet subnet configurations and VM NIC IP assignments via the Azure Resource Manager API, writing every Azure IP into the Azure-GCC Network View in the InfoBlox IPAM database.</w:t>
      </w:r>
    </w:p>
    <w:bookmarkEnd w:id="36"/>
    <w:bookmarkStart w:id="37" w:name="sec-aws-dhcp"/>
    <w:p>
      <w:pPr>
        <w:pStyle w:val="Heading3"/>
      </w:pPr>
      <w:r>
        <w:t xml:space="preserve">2.3 AWS GovCloud: VPC DHCP Options and the Nitro Hypervisor</w:t>
      </w:r>
    </w:p>
    <w:p>
      <w:pPr>
        <w:pStyle w:val="FirstParagraph"/>
      </w:pPr>
      <w:r>
        <w:t xml:space="preserve">AWS VPCs use</w:t>
      </w:r>
      <w:r>
        <w:t xml:space="preserve"> </w:t>
      </w:r>
      <w:r>
        <w:rPr>
          <w:b/>
          <w:bCs/>
        </w:rPr>
        <w:t xml:space="preserve">DHCP Options Sets</w:t>
      </w:r>
      <w:r>
        <w:t xml:space="preserve"> </w:t>
      </w:r>
      <w:r>
        <w:t xml:space="preserve">to specify DNS servers and domain names, but the actual IP assignment is managed by the AWS Nitro hypervisor — not a traditional DHCP server. EC2 instances receive IPs via a synthetic DHCP interaction at the VPC CIDR +2 address.</w:t>
      </w:r>
    </w:p>
    <w:p>
      <w:pPr>
        <w:pStyle w:val="BodyText"/>
      </w:pPr>
      <w:r>
        <w:t xml:space="preserve">Replacing the default AmazonProvidedDNS with the InfoBlox Grid Member IP in the VPC DHCP Options Set directs all EC2 DNS queries through the enterprise RPZ and DNSSEC validation layer. InfoBlox’s</w:t>
      </w:r>
      <w:r>
        <w:t xml:space="preserve"> </w:t>
      </w:r>
      <w:r>
        <w:rPr>
          <w:b/>
          <w:bCs/>
        </w:rPr>
        <w:t xml:space="preserve">AWS connector</w:t>
      </w:r>
      <w:r>
        <w:t xml:space="preserve"> </w:t>
      </w:r>
      <w:r>
        <w:t xml:space="preserve">syncs EC2 instance IP assignments, subnet CIDRs, and VPC IPAM pool allocations into the AWS-GovCloud Network View.</w:t>
      </w:r>
    </w:p>
    <w:bookmarkEnd w:id="37"/>
    <w:bookmarkStart w:id="38" w:name="sec-oci-dhcp"/>
    <w:p>
      <w:pPr>
        <w:pStyle w:val="Heading3"/>
      </w:pPr>
      <w:r>
        <w:t xml:space="preserve">2.4 Oracle OCI: VCN DHCP Options and the VNIC Overlay</w:t>
      </w:r>
    </w:p>
    <w:p>
      <w:pPr>
        <w:pStyle w:val="FirstParagraph"/>
      </w:pPr>
      <w:r>
        <w:t xml:space="preserve">OCI uses Virtual Network Interface Cards (VNICs) inside Virtual Cloud Networks. OCI’s internal DHCP implementation is fabric-native — the OCI hypervisor responds to DHCP requests on behalf of each subnet from the metadata service at 169.254.169.254.</w:t>
      </w:r>
    </w:p>
    <w:p>
      <w:pPr>
        <w:pStyle w:val="BodyText"/>
      </w:pPr>
      <w:r>
        <w:t xml:space="preserve">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r>
        <w:pict>
          <v:rect style="width:0;height:1.5pt" o:hralign="center" o:hrstd="t" o:hr="t"/>
        </w:pict>
      </w:r>
    </w:p>
    <w:bookmarkEnd w:id="38"/>
    <w:bookmarkEnd w:id="39"/>
    <w:bookmarkStart w:id="70" w:name="sec-infoblox"/>
    <w:p>
      <w:pPr>
        <w:pStyle w:val="Heading2"/>
      </w:pPr>
      <w:r>
        <w:t xml:space="preserve">3 InfoBlox as the SDN-Aware IPAM Control Plane</w:t>
      </w:r>
    </w:p>
    <w:p>
      <w:pPr>
        <w:pStyle w:val="FirstParagraph"/>
      </w:pPr>
      <w:r>
        <w:t xml:space="preserve">InfoBlox DDI operates as a</w:t>
      </w:r>
      <w:r>
        <w:t xml:space="preserve"> </w:t>
      </w:r>
      <w:r>
        <w:rPr>
          <w:b/>
          <w:bCs/>
        </w:rPr>
        <w:t xml:space="preserve">control plane over SDN environments</w:t>
      </w:r>
      <w:r>
        <w:t xml:space="preserve"> </w:t>
      </w:r>
      <w:r>
        <w:t xml:space="preserve">— not replacing the SDN fabric’s internal IP assignment mechanisms, but serving as the authoritative record and policy engine above them.</w:t>
      </w:r>
    </w:p>
    <w:bookmarkStart w:id="40" w:name="sec-value"/>
    <w:p>
      <w:pPr>
        <w:pStyle w:val="Heading3"/>
      </w:pPr>
      <w:r>
        <w:t xml:space="preserve">3.1 What InfoBlox Provides That SDN Cannot</w:t>
      </w:r>
    </w:p>
    <w:p>
      <w:pPr>
        <w:pStyle w:val="TableCaption"/>
      </w:pPr>
      <w:r>
        <w:t xml:space="preserve">InfoBlox Value-Add Over Native SDN</w:t>
      </w:r>
    </w:p>
    <w:tbl>
      <w:tblPr>
        <w:tblStyle w:val="Table"/>
        <w:tblW w:type="pct" w:w="5000"/>
        <w:tblLayout w:type="fixed"/>
        <w:tblLook w:firstRow="1" w:lastRow="0" w:firstColumn="0" w:lastColumn="0" w:noHBand="0" w:noVBand="0" w:val="0020"/>
        <w:tblCaption w:val="InfoBlox Value-Add Over Native SDN"/>
      </w:tblPr>
      <w:tblGrid>
        <w:gridCol w:w="2640"/>
        <w:gridCol w:w="2640"/>
        <w:gridCol w:w="2640"/>
      </w:tblGrid>
      <w:tr>
        <w:trPr>
          <w:tblHeader w:val="on"/>
        </w:trPr>
        <w:tc>
          <w:tcPr/>
          <w:p>
            <w:pPr>
              <w:pStyle w:val="Compact"/>
            </w:pPr>
            <w:r>
              <w:t xml:space="preserve">Capability</w:t>
            </w:r>
          </w:p>
        </w:tc>
        <w:tc>
          <w:tcPr/>
          <w:p>
            <w:pPr>
              <w:pStyle w:val="Compact"/>
            </w:pPr>
            <w:r>
              <w:t xml:space="preserve">What SDN Platforms Provide</w:t>
            </w:r>
          </w:p>
        </w:tc>
        <w:tc>
          <w:tcPr/>
          <w:p>
            <w:pPr>
              <w:pStyle w:val="Compact"/>
            </w:pPr>
            <w:r>
              <w:t xml:space="preserve">What InfoBlox Adds</w:t>
            </w:r>
          </w:p>
        </w:tc>
      </w:tr>
      <w:tr>
        <w:tc>
          <w:tcPr/>
          <w:p>
            <w:pPr>
              <w:pStyle w:val="Compact"/>
            </w:pPr>
            <w:r>
              <w:t xml:space="preserve">IP assignment</w:t>
            </w:r>
          </w:p>
        </w:tc>
        <w:tc>
          <w:tcPr/>
          <w:p>
            <w:pPr>
              <w:pStyle w:val="Compact"/>
            </w:pPr>
            <w:r>
              <w:t xml:space="preserve">Per-environment only</w:t>
            </w:r>
          </w:p>
        </w:tc>
        <w:tc>
          <w:tcPr/>
          <w:p>
            <w:pPr>
              <w:pStyle w:val="Compact"/>
            </w:pPr>
            <w:r>
              <w:t xml:space="preserve">Cross-cloud conflict detection before allocation</w:t>
            </w:r>
          </w:p>
        </w:tc>
      </w:tr>
      <w:tr>
        <w:tc>
          <w:tcPr/>
          <w:p>
            <w:pPr>
              <w:pStyle w:val="Compact"/>
            </w:pPr>
            <w:r>
              <w:t xml:space="preserve">DNS</w:t>
            </w:r>
          </w:p>
        </w:tc>
        <w:tc>
          <w:tcPr/>
          <w:p>
            <w:pPr>
              <w:pStyle w:val="Compact"/>
            </w:pPr>
            <w:r>
              <w:t xml:space="preserve">Per-environment resolver</w:t>
            </w:r>
          </w:p>
        </w:tc>
        <w:tc>
          <w:tcPr/>
          <w:p>
            <w:pPr>
              <w:pStyle w:val="Compact"/>
            </w:pPr>
            <w:r>
              <w:t xml:space="preserve">Authoritative + recursive with DNSSEC, unified across all four</w:t>
            </w:r>
          </w:p>
        </w:tc>
      </w:tr>
      <w:tr>
        <w:tc>
          <w:tcPr/>
          <w:p>
            <w:pPr>
              <w:pStyle w:val="Compact"/>
            </w:pPr>
            <w:r>
              <w:t xml:space="preserve">DHCP inventory</w:t>
            </w:r>
          </w:p>
        </w:tc>
        <w:tc>
          <w:tcPr/>
          <w:p>
            <w:pPr>
              <w:pStyle w:val="Compact"/>
            </w:pPr>
            <w:r>
              <w:t xml:space="preserve">Per-VPC/VNet/segment dashboard</w:t>
            </w:r>
          </w:p>
        </w:tc>
        <w:tc>
          <w:tcPr/>
          <w:p>
            <w:pPr>
              <w:pStyle w:val="Compact"/>
            </w:pPr>
            <w:r>
              <w:t xml:space="preserve">Single CM-8-ready inventory spanning all environments</w:t>
            </w:r>
          </w:p>
        </w:tc>
      </w:tr>
      <w:tr>
        <w:tc>
          <w:tcPr/>
          <w:p>
            <w:pPr>
              <w:pStyle w:val="Compact"/>
            </w:pPr>
            <w:r>
              <w:t xml:space="preserve">Certificate management</w:t>
            </w:r>
          </w:p>
        </w:tc>
        <w:tc>
          <w:tcPr/>
          <w:p>
            <w:pPr>
              <w:pStyle w:val="Compact"/>
            </w:pPr>
            <w:r>
              <w:t xml:space="preserve">None / per-CA</w:t>
            </w:r>
          </w:p>
        </w:tc>
        <w:tc>
          <w:tcPr/>
          <w:p>
            <w:pPr>
              <w:pStyle w:val="Compact"/>
            </w:pPr>
            <w:r>
              <w:t xml:space="preserve">Certificate Tracker links cert to IP host record, expiry alerts</w:t>
            </w:r>
          </w:p>
        </w:tc>
      </w:tr>
      <w:tr>
        <w:tc>
          <w:tcPr/>
          <w:p>
            <w:pPr>
              <w:pStyle w:val="Compact"/>
            </w:pPr>
            <w:r>
              <w:t xml:space="preserve">Threat blocking</w:t>
            </w:r>
          </w:p>
        </w:tc>
        <w:tc>
          <w:tcPr/>
          <w:p>
            <w:pPr>
              <w:pStyle w:val="Compact"/>
            </w:pPr>
            <w:r>
              <w:t xml:space="preserve">Per-environment (DNS Firewall, NSG)</w:t>
            </w:r>
          </w:p>
        </w:tc>
        <w:tc>
          <w:tcPr/>
          <w:p>
            <w:pPr>
              <w:pStyle w:val="Compact"/>
            </w:pPr>
            <w:r>
              <w:t xml:space="preserve">Single RPZ policy propagated to all Grid Members in seconds</w:t>
            </w:r>
          </w:p>
        </w:tc>
      </w:tr>
      <w:tr>
        <w:tc>
          <w:tcPr/>
          <w:p>
            <w:pPr>
              <w:pStyle w:val="Compact"/>
            </w:pPr>
            <w:r>
              <w:t xml:space="preserve">Audit logging</w:t>
            </w:r>
          </w:p>
        </w:tc>
        <w:tc>
          <w:tcPr/>
          <w:p>
            <w:pPr>
              <w:pStyle w:val="Compact"/>
            </w:pPr>
            <w:r>
              <w:t xml:space="preserve">Per-environment log silo</w:t>
            </w:r>
          </w:p>
        </w:tc>
        <w:tc>
          <w:tcPr/>
          <w:p>
            <w:pPr>
              <w:pStyle w:val="Compact"/>
            </w:pPr>
            <w:r>
              <w:t xml:space="preserve">Single syslog stream to SIEM, AU-12 evidence</w:t>
            </w:r>
          </w:p>
        </w:tc>
      </w:tr>
      <w:tr>
        <w:tc>
          <w:tcPr/>
          <w:p>
            <w:pPr>
              <w:pStyle w:val="Compact"/>
            </w:pPr>
            <w:r>
              <w:t xml:space="preserve">IaC integration</w:t>
            </w:r>
          </w:p>
        </w:tc>
        <w:tc>
          <w:tcPr/>
          <w:p>
            <w:pPr>
              <w:pStyle w:val="Compact"/>
            </w:pPr>
            <w:r>
              <w:t xml:space="preserve">Per-cloud provider only</w:t>
            </w:r>
          </w:p>
        </w:tc>
        <w:tc>
          <w:tcPr/>
          <w:p>
            <w:pPr>
              <w:pStyle w:val="Compact"/>
            </w:pPr>
            <w:r>
              <w:t xml:space="preserve">Terraform InfoBlox provider works across all environments</w:t>
            </w:r>
          </w:p>
        </w:tc>
      </w:tr>
    </w:tbl>
    <w:bookmarkEnd w:id="40"/>
    <w:bookmarkStart w:id="54" w:name="sec-microsoft"/>
    <w:p>
      <w:pPr>
        <w:pStyle w:val="Heading3"/>
      </w:pPr>
      <w:r>
        <w:t xml:space="preserve">3.2 Microsoft Partnership: M365 GCC Endpoint Lifecycle</w:t>
      </w:r>
    </w:p>
    <w:p>
      <w:pPr>
        <w:pStyle w:val="CaptionedFigure"/>
      </w:pPr>
      <w:r>
        <w:drawing>
          <wp:inline>
            <wp:extent cx="5334000" cy="3022600"/>
            <wp:effectExtent b="0" l="0" r="0" t="0"/>
            <wp:docPr descr="Microsoft × InfoBlox Technology Partnership — Six Integration Points" title="" id="42" name="Picture"/>
            <a:graphic>
              <a:graphicData uri="http://schemas.openxmlformats.org/drawingml/2006/picture">
                <pic:pic>
                  <pic:nvPicPr>
                    <pic:cNvPr descr="figs/lz-fig-03-ms-partnership.png" id="43" name="Picture"/>
                    <pic:cNvPicPr>
                      <a:picLocks noChangeArrowheads="1" noChangeAspect="1"/>
                    </pic:cNvPicPr>
                  </pic:nvPicPr>
                  <pic:blipFill>
                    <a:blip r:embed="rId41"/>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Microsoft × InfoBlox Technology Partnership — Six Integration Points</w:t>
      </w:r>
    </w:p>
    <w:p>
      <w:pPr>
        <w:pStyle w:val="BodyText"/>
      </w:pPr>
      <w:r>
        <w:t xml:space="preserve">InfoBlox and Microsoft have a formal</w:t>
      </w:r>
      <w:r>
        <w:t xml:space="preserve"> </w:t>
      </w:r>
      <w:r>
        <w:rPr>
          <w:b/>
          <w:bCs/>
        </w:rPr>
        <w:t xml:space="preserve">Azure Technology Alliance Partnership</w:t>
      </w:r>
      <w:r>
        <w:t xml:space="preserve"> </w:t>
      </w:r>
      <w:r>
        <w:t xml:space="preserve">with six distinct integration points:</w:t>
      </w:r>
    </w:p>
    <w:p>
      <w:pPr>
        <w:pStyle w:val="TableCaption"/>
      </w:pPr>
      <w:r>
        <w:t xml:space="preserve">Microsoft-InfoBlox Integration Points</w:t>
      </w:r>
    </w:p>
    <w:tbl>
      <w:tblPr>
        <w:tblStyle w:val="Table"/>
        <w:tblW w:type="pct" w:w="5000"/>
        <w:tblLayout w:type="fixed"/>
        <w:tblLook w:firstRow="1" w:lastRow="0" w:firstColumn="0" w:lastColumn="0" w:noHBand="0" w:noVBand="0" w:val="0020"/>
        <w:tblCaption w:val="Microsoft-InfoBlox Integration Points"/>
      </w:tblPr>
      <w:tblGrid>
        <w:gridCol w:w="3960"/>
        <w:gridCol w:w="3960"/>
      </w:tblGrid>
      <w:tr>
        <w:trPr>
          <w:tblHeader w:val="on"/>
        </w:trPr>
        <w:tc>
          <w:tcPr/>
          <w:p>
            <w:pPr>
              <w:pStyle w:val="Compact"/>
            </w:pPr>
            <w:r>
              <w:t xml:space="preserve">Integration</w:t>
            </w:r>
          </w:p>
        </w:tc>
        <w:tc>
          <w:tcPr/>
          <w:p>
            <w:pPr>
              <w:pStyle w:val="Compact"/>
            </w:pPr>
            <w:r>
              <w:t xml:space="preserve">What It Does</w:t>
            </w:r>
          </w:p>
        </w:tc>
      </w:tr>
      <w:tr>
        <w:tc>
          <w:tcPr/>
          <w:p>
            <w:pPr>
              <w:pStyle w:val="Compact"/>
            </w:pPr>
            <w:r>
              <w:rPr>
                <w:b/>
                <w:bCs/>
              </w:rPr>
              <w:t xml:space="preserve">Microsoft Sentinel Native Connector</w:t>
            </w:r>
          </w:p>
        </w:tc>
        <w:tc>
          <w:tcPr/>
          <w:p>
            <w:pPr>
              <w:pStyle w:val="Compact"/>
            </w:pPr>
            <w:r>
              <w:t xml:space="preserve">First-party Sentinel content pack — DNS Security Events, DHCP events, RPZ blocks stream to Sentinel without custom parsing</w:t>
            </w:r>
          </w:p>
        </w:tc>
      </w:tr>
      <w:tr>
        <w:tc>
          <w:tcPr/>
          <w:p>
            <w:pPr>
              <w:pStyle w:val="Compact"/>
            </w:pPr>
            <w:r>
              <w:rPr>
                <w:b/>
                <w:bCs/>
              </w:rPr>
              <w:t xml:space="preserve">Defender Threat Intelligence (MDTI)</w:t>
            </w:r>
          </w:p>
        </w:tc>
        <w:tc>
          <w:tcPr/>
          <w:p>
            <w:pPr>
              <w:pStyle w:val="Compact"/>
            </w:pPr>
            <w:r>
              <w:t xml:space="preserve">Bidirectional IOC sharing between InfoBlox TIDE and MDTI — a domain blocked by MDTI is also blocked by InfoBlox RPZ</w:t>
            </w:r>
          </w:p>
        </w:tc>
      </w:tr>
      <w:tr>
        <w:tc>
          <w:tcPr/>
          <w:p>
            <w:pPr>
              <w:pStyle w:val="Compact"/>
            </w:pPr>
            <w:r>
              <w:rPr>
                <w:b/>
                <w:bCs/>
              </w:rPr>
              <w:t xml:space="preserve">Entra ID / Azure AD SSO</w:t>
            </w:r>
          </w:p>
        </w:tc>
        <w:tc>
          <w:tcPr/>
          <w:p>
            <w:pPr>
              <w:pStyle w:val="Compact"/>
            </w:pPr>
            <w:r>
              <w:t xml:space="preserve">InfoBlox Grid Manager and BloxOne portal support Entra ID SAML/OIDC — Grid admin auth governed by SSA Conditional Access policies</w:t>
            </w:r>
          </w:p>
        </w:tc>
      </w:tr>
      <w:tr>
        <w:tc>
          <w:tcPr/>
          <w:p>
            <w:pPr>
              <w:pStyle w:val="Compact"/>
            </w:pPr>
            <w:r>
              <w:rPr>
                <w:b/>
                <w:bCs/>
              </w:rPr>
              <w:t xml:space="preserve">Azure Government Marketplace</w:t>
            </w:r>
          </w:p>
        </w:tc>
        <w:tc>
          <w:tcPr/>
          <w:p>
            <w:pPr>
              <w:pStyle w:val="Compact"/>
            </w:pPr>
            <w:r>
              <w:t xml:space="preserve">BloxOne DDI Federal is procurable via existing Azure EA/ELA agreements — no separate IDIQ</w:t>
            </w:r>
          </w:p>
        </w:tc>
      </w:tr>
      <w:tr>
        <w:tc>
          <w:tcPr/>
          <w:p>
            <w:pPr>
              <w:pStyle w:val="Compact"/>
            </w:pPr>
            <w:r>
              <w:rPr>
                <w:b/>
                <w:bCs/>
              </w:rPr>
              <w:t xml:space="preserve">AD-Integrated DNS Migration</w:t>
            </w:r>
          </w:p>
        </w:tc>
        <w:tc>
          <w:tcPr/>
          <w:p>
            <w:pPr>
              <w:pStyle w:val="Compact"/>
            </w:pPr>
            <w:r>
              <w:t xml:space="preserve">Documented migration tooling from Windows DNS zones to InfoBlox Grid — AD still replicates, InfoBlox serves authoritative records</w:t>
            </w:r>
          </w:p>
        </w:tc>
      </w:tr>
      <w:tr>
        <w:tc>
          <w:tcPr/>
          <w:p>
            <w:pPr>
              <w:pStyle w:val="Compact"/>
            </w:pPr>
            <w:r>
              <w:rPr>
                <w:b/>
                <w:bCs/>
              </w:rPr>
              <w:t xml:space="preserve">M365 GCC Endpoint Lifecycle</w:t>
            </w:r>
          </w:p>
        </w:tc>
        <w:tc>
          <w:tcPr/>
          <w:p>
            <w:pPr>
              <w:pStyle w:val="Compact"/>
            </w:pPr>
            <w:r>
              <w:t xml:space="preserve">InfoBlox polls Microsoft 365 IP &amp; URL Web Service API and auto-updates all enforcement layers</w:t>
            </w:r>
          </w:p>
        </w:tc>
      </w:tr>
    </w:tbl>
    <w:bookmarkStart w:id="53" w:name="m365-gcc-boundary-enforcement"/>
    <w:p>
      <w:pPr>
        <w:pStyle w:val="Heading4"/>
      </w:pPr>
      <w:r>
        <w:t xml:space="preserve">3.2.1 M365 GCC Boundary Enforcement</w:t>
      </w:r>
    </w:p>
    <w:p>
      <w:pPr>
        <w:pStyle w:val="CaptionedFigure"/>
      </w:pPr>
      <w:r>
        <w:drawing>
          <wp:inline>
            <wp:extent cx="5334000" cy="2963333"/>
            <wp:effectExtent b="0" l="0" r="0" t="0"/>
            <wp:docPr descr="M365 GCC Boundary Gap: Manual vs. Automated Enforcement" title="" id="45" name="Picture"/>
            <a:graphic>
              <a:graphicData uri="http://schemas.openxmlformats.org/drawingml/2006/picture">
                <pic:pic>
                  <pic:nvPicPr>
                    <pic:cNvPr descr="figs/lz-fig-13-boundary-gap.png" id="46" name="Picture"/>
                    <pic:cNvPicPr>
                      <a:picLocks noChangeArrowheads="1" noChangeAspect="1"/>
                    </pic:cNvPicPr>
                  </pic:nvPicPr>
                  <pic:blipFill>
                    <a:blip r:embed="rId4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M365 GCC Boundary Gap: Manual vs. Automated Enforcement</w:t>
      </w:r>
    </w:p>
    <w:p>
      <w:pPr>
        <w:pStyle w:val="CaptionedFigure"/>
      </w:pPr>
      <w:r>
        <w:drawing>
          <wp:inline>
            <wp:extent cx="5334000" cy="2578100"/>
            <wp:effectExtent b="0" l="0" r="0" t="0"/>
            <wp:docPr descr="M365 GCC Endpoint Lifecycle Automation — One Poll, Four Enforcement Updates" title="" id="48" name="Picture"/>
            <a:graphic>
              <a:graphicData uri="http://schemas.openxmlformats.org/drawingml/2006/picture">
                <pic:pic>
                  <pic:nvPicPr>
                    <pic:cNvPr descr="figs/lz-fig-04-m365-pipeline.png" id="49" name="Picture"/>
                    <pic:cNvPicPr>
                      <a:picLocks noChangeArrowheads="1" noChangeAspect="1"/>
                    </pic:cNvPicPr>
                  </pic:nvPicPr>
                  <pic:blipFill>
                    <a:blip r:embed="rId47"/>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M365 GCC Endpoint Lifecycle Automation — One Poll, Four Enforcement Updates</w:t>
      </w:r>
    </w:p>
    <w:p>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w:t>
      </w:r>
      <w:r>
        <w:t xml:space="preserve"> </w:t>
      </w:r>
      <w:r>
        <w:rPr>
          <w:b/>
          <w:bCs/>
        </w:rPr>
        <w:t xml:space="preserve">FedRAMP boundary violation</w:t>
      </w:r>
      <w:r>
        <w:t xml:space="preserve">.</w:t>
      </w:r>
    </w:p>
    <w:p>
      <w:pPr>
        <w:pStyle w:val="BodyText"/>
      </w:pPr>
      <w:r>
        <w:t xml:space="preserve">InfoBlox provides the automated enforcement pipeline:</w:t>
      </w:r>
    </w:p>
    <w:p>
      <w:pPr>
        <w:pStyle w:val="Compact"/>
        <w:numPr>
          <w:ilvl w:val="0"/>
          <w:numId w:val="1003"/>
        </w:numPr>
      </w:pPr>
      <w:r>
        <w:rPr>
          <w:b/>
          <w:bCs/>
        </w:rPr>
        <w:t xml:space="preserve">Daily poll</w:t>
      </w:r>
      <w:r>
        <w:t xml:space="preserve"> </w:t>
      </w:r>
      <w:r>
        <w:t xml:space="preserve">of the Microsoft M365 GCC endpoint API (version-change detection)</w:t>
      </w:r>
    </w:p>
    <w:p>
      <w:pPr>
        <w:pStyle w:val="Compact"/>
        <w:numPr>
          <w:ilvl w:val="0"/>
          <w:numId w:val="1003"/>
        </w:numPr>
      </w:pPr>
      <w:r>
        <w:rPr>
          <w:b/>
          <w:bCs/>
        </w:rPr>
        <w:t xml:space="preserve">RPZ passthrough allow-list</w:t>
      </w:r>
      <w:r>
        <w:t xml:space="preserve"> </w:t>
      </w:r>
      <w:r>
        <w:t xml:space="preserve">— GCC FQDNs explicitly allowed through threat blocking</w:t>
      </w:r>
    </w:p>
    <w:p>
      <w:pPr>
        <w:pStyle w:val="Compact"/>
        <w:numPr>
          <w:ilvl w:val="0"/>
          <w:numId w:val="1003"/>
        </w:numPr>
      </w:pPr>
      <w:r>
        <w:rPr>
          <w:b/>
          <w:bCs/>
        </w:rPr>
        <w:t xml:space="preserve">RPZ block list</w:t>
      </w:r>
      <w:r>
        <w:t xml:space="preserve"> </w:t>
      </w:r>
      <w:r>
        <w:t xml:space="preserve">— commercial M365 FQDNs (non-GCC) blocked at DNS layer</w:t>
      </w:r>
    </w:p>
    <w:p>
      <w:pPr>
        <w:pStyle w:val="Compact"/>
        <w:numPr>
          <w:ilvl w:val="0"/>
          <w:numId w:val="1003"/>
        </w:numPr>
      </w:pPr>
      <w:r>
        <w:rPr>
          <w:b/>
          <w:bCs/>
        </w:rPr>
        <w:t xml:space="preserve">Azure NSG IP Group</w:t>
      </w:r>
      <w:r>
        <w:t xml:space="preserve"> </w:t>
      </w:r>
      <w:r>
        <w:t xml:space="preserve">update — GCC Optimize IP ranges pushed to Azure Government</w:t>
      </w:r>
    </w:p>
    <w:p>
      <w:pPr>
        <w:pStyle w:val="Compact"/>
        <w:numPr>
          <w:ilvl w:val="0"/>
          <w:numId w:val="1003"/>
        </w:numPr>
      </w:pPr>
      <w:r>
        <w:rPr>
          <w:b/>
          <w:bCs/>
        </w:rPr>
        <w:t xml:space="preserve">AWS GovCloud Security Group</w:t>
      </w:r>
      <w:r>
        <w:t xml:space="preserve"> </w:t>
      </w:r>
      <w:r>
        <w:t xml:space="preserve">update — GCC IP ranges for outbound rules</w:t>
      </w:r>
    </w:p>
    <w:p>
      <w:pPr>
        <w:pStyle w:val="Compact"/>
        <w:numPr>
          <w:ilvl w:val="0"/>
          <w:numId w:val="1003"/>
        </w:numPr>
      </w:pPr>
      <w:r>
        <w:rPr>
          <w:b/>
          <w:bCs/>
        </w:rPr>
        <w:t xml:space="preserve">VPN split-tunnel DNS</w:t>
      </w:r>
      <w:r>
        <w:t xml:space="preserve"> </w:t>
      </w:r>
      <w:r>
        <w:t xml:space="preserve">— M365 Optimize FQDNs route via local interface, not VPN tunnel</w:t>
      </w:r>
    </w:p>
    <w:p>
      <w:pPr>
        <w:pStyle w:val="Compact"/>
        <w:numPr>
          <w:ilvl w:val="0"/>
          <w:numId w:val="1003"/>
        </w:numPr>
      </w:pPr>
      <w:r>
        <w:rPr>
          <w:b/>
          <w:bCs/>
        </w:rPr>
        <w:t xml:space="preserve">Sentinel alert</w:t>
      </w:r>
      <w:r>
        <w:t xml:space="preserve"> </w:t>
      </w:r>
      <w:r>
        <w:t xml:space="preserve">— any DNS query from an in-boundary workload to a commercial M365 endpoint triggers an IR ticket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Without InfoBlox automation:</w:t>
            </w:r>
            <w:r>
              <w:t xml:space="preserve"> </w:t>
            </w:r>
            <w:r>
              <w:t xml:space="preserve">Each of Microsoft’s 8–12 annual endpoint changes requires four separate change tickets across NSG, Security Groups, RPZ, and VPN config — during which SSA has a boundary gap window. With InfoBlox, all four update within minutes of Microsoft’s API publishing the change.</w:t>
            </w:r>
          </w:p>
          <w:p/>
        </w:tc>
      </w:tr>
    </w:tbl>
    <w:bookmarkEnd w:id="53"/>
    <w:bookmarkEnd w:id="54"/>
    <w:bookmarkStart w:id="63" w:name="sec-aws"/>
    <w:p>
      <w:pPr>
        <w:pStyle w:val="Heading3"/>
      </w:pPr>
      <w:r>
        <w:t xml:space="preserve">3.3 AWS Partnership: BloxOne Runs ON AWS GovCloud</w:t>
      </w:r>
    </w:p>
    <w:p>
      <w:pPr>
        <w:pStyle w:val="CaptionedFigure"/>
      </w:pPr>
      <w:r>
        <w:drawing>
          <wp:inline>
            <wp:extent cx="5334000" cy="2844800"/>
            <wp:effectExtent b="0" l="0" r="0" t="0"/>
            <wp:docPr descr="AWS GovCloud × InfoBlox — BloxOne DDI Federal Hosted on AWS, LZA DNS Alignment" title="" id="56" name="Picture"/>
            <a:graphic>
              <a:graphicData uri="http://schemas.openxmlformats.org/drawingml/2006/picture">
                <pic:pic>
                  <pic:nvPicPr>
                    <pic:cNvPr descr="figs/lz-fig-07-aws-lza.png" id="57" name="Picture"/>
                    <pic:cNvPicPr>
                      <a:picLocks noChangeArrowheads="1" noChangeAspect="1"/>
                    </pic:cNvPicPr>
                  </pic:nvPicPr>
                  <pic:blipFill>
                    <a:blip r:embed="rId5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AWS GovCloud × InfoBlox — BloxOne DDI Federal Hosted on AWS, LZA DNS Alignment</w:t>
      </w:r>
    </w:p>
    <w:p>
      <w:pPr>
        <w:pStyle w:val="BodyText"/>
      </w:pPr>
      <w:r>
        <w:t xml:space="preserve">The AWS relationship is the deepest of all three cloud vendors:</w:t>
      </w:r>
      <w:r>
        <w:t xml:space="preserve"> </w:t>
      </w:r>
      <w:r>
        <w:rPr>
          <w:b/>
          <w:bCs/>
        </w:rPr>
        <w:t xml:space="preserve">InfoBlox’s own FedRAMP-authorized cloud service (BloxOne DDI Federal, CSO FR2017257053) is hosted on AWS GovCloud.</w:t>
      </w:r>
      <w:r>
        <w:t xml:space="preserve"> </w:t>
      </w:r>
      <w:r>
        <w:t xml:space="preserve">This makes AWS the infrastructure foundation for InfoBlox’s SaaS control plane.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tip.png" id="5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Key Point:</w:t>
            </w:r>
            <w:r>
              <w:t xml:space="preserve"> </w:t>
            </w:r>
            <w:r>
              <w:t xml:space="preserve">When SSA uses BloxOne DDI Federal, the control plane is hosted on AWS GovCloud infrastructure with its own FedRAMP High authorization. SSA inherits both the InfoBlox DDI CSO (FR2017257053) and the AWS GovCloud infrastructure authorization — layered FedRAMP coverage.</w:t>
            </w:r>
          </w:p>
          <w:p/>
        </w:tc>
      </w:tr>
    </w:tbl>
    <w:p>
      <w:pPr>
        <w:pStyle w:val="BodyText"/>
      </w:pPr>
      <w:r>
        <w:t xml:space="preserve">AWS-specific InfoBlox capabilities:</w:t>
      </w:r>
    </w:p>
    <w:p>
      <w:pPr>
        <w:pStyle w:val="Compact"/>
        <w:numPr>
          <w:ilvl w:val="0"/>
          <w:numId w:val="1004"/>
        </w:numPr>
      </w:pPr>
      <w:r>
        <w:rPr>
          <w:b/>
          <w:bCs/>
        </w:rPr>
        <w:t xml:space="preserve">AWS Landing Zone Accelerator (LZA) Integration:</w:t>
      </w:r>
      <w:r>
        <w:t xml:space="preserve"> </w:t>
      </w:r>
      <w:r>
        <w:t xml:space="preserve">LZA is the AWS-published IaC package for FedRAMP-compliant landing zones. InfoBlox integrates as the DNS customization layer, replacing the default Route 53 Resolver-only DNS with Grid Member + RPZ + DNSSEC. FedRAMP 20x KSIs are enforced via SCP + InfoBlox RPZ policy.</w:t>
      </w:r>
    </w:p>
    <w:p>
      <w:pPr>
        <w:pStyle w:val="Compact"/>
        <w:numPr>
          <w:ilvl w:val="0"/>
          <w:numId w:val="1004"/>
        </w:numPr>
      </w:pPr>
      <w:r>
        <w:rPr>
          <w:b/>
          <w:bCs/>
        </w:rPr>
        <w:t xml:space="preserve">AWS Security Hub:</w:t>
      </w:r>
      <w:r>
        <w:t xml:space="preserve"> </w:t>
      </w:r>
      <w:r>
        <w:t xml:space="preserve">InfoBlox RPZ block events flow natively to Security Hub findings and correlate with GuardDuty detections.</w:t>
      </w:r>
    </w:p>
    <w:p>
      <w:pPr>
        <w:pStyle w:val="Compact"/>
        <w:numPr>
          <w:ilvl w:val="0"/>
          <w:numId w:val="1004"/>
        </w:numPr>
      </w:pPr>
      <w:r>
        <w:rPr>
          <w:b/>
          <w:bCs/>
        </w:rPr>
        <w:t xml:space="preserve">ACM Private CA Integration:</w:t>
      </w:r>
      <w:r>
        <w:t xml:space="preserve"> </w:t>
      </w:r>
      <w:r>
        <w:t xml:space="preserve">InfoBlox auto-creates DNS validation CNAME records for ACM certificate issuance; ACM PCA certificate expiry is tracked in InfoBlox Certificate Tracker.</w:t>
      </w:r>
    </w:p>
    <w:p>
      <w:pPr>
        <w:pStyle w:val="Compact"/>
        <w:numPr>
          <w:ilvl w:val="0"/>
          <w:numId w:val="1004"/>
        </w:numPr>
      </w:pPr>
      <w:r>
        <w:rPr>
          <w:b/>
          <w:bCs/>
        </w:rPr>
        <w:t xml:space="preserve">AWS IPAM Sync:</w:t>
      </w:r>
      <w:r>
        <w:t xml:space="preserve"> </w:t>
      </w:r>
      <w:r>
        <w:t xml:space="preserve">AWS IPAM pool allocations are imported into InfoBlox’s AWS-GovCloud Network View — cross-cloud CIDR conflict detection includes native AWS IPAM-managed ranges.</w:t>
      </w:r>
    </w:p>
    <w:p>
      <w:pPr>
        <w:pStyle w:val="Compact"/>
        <w:numPr>
          <w:ilvl w:val="0"/>
          <w:numId w:val="1004"/>
        </w:numPr>
      </w:pPr>
      <w:r>
        <w:rPr>
          <w:b/>
          <w:bCs/>
        </w:rPr>
        <w:t xml:space="preserve">AWS GovCloud Marketplace Procurement:</w:t>
      </w:r>
      <w:r>
        <w:t xml:space="preserve"> </w:t>
      </w:r>
      <w:r>
        <w:t xml:space="preserve">BloxOne DDI Federal is procurable via the GovCloud Marketplace against existing EA agreements — no separate IDIQ or procurement action required.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Route 53 Private Zone DNSSEC Gap:</w:t>
            </w:r>
            <w:r>
              <w:t xml:space="preserve"> </w:t>
            </w:r>
            <w:r>
              <w:t xml:space="preserve">AWS Route 53 private hosted zones</w:t>
            </w:r>
            <w:r>
              <w:t xml:space="preserve"> </w:t>
            </w:r>
            <w:r>
              <w:rPr>
                <w:i/>
                <w:iCs/>
              </w:rPr>
              <w:t xml:space="preserve">cannot</w:t>
            </w:r>
            <w:r>
              <w:t xml:space="preserve"> </w:t>
            </w:r>
            <w:r>
              <w:t xml:space="preserve">be DNSSEC-signed — this is a documented AWS platform limitation as of 2026. InfoBlox Grid Members sign all internal zones including private SDN segments, closing this gap. This is a key differentiator for FedRAMP SC-20/SC-21 evidence.</w:t>
            </w:r>
          </w:p>
          <w:p/>
        </w:tc>
      </w:tr>
    </w:tbl>
    <w:bookmarkEnd w:id="63"/>
    <w:bookmarkStart w:id="69" w:name="sec-oracle"/>
    <w:p>
      <w:pPr>
        <w:pStyle w:val="Heading3"/>
      </w:pPr>
      <w:r>
        <w:t xml:space="preserve">3.4 Oracle Cloud / OCI: OPM HRIT Future Integration</w:t>
      </w:r>
    </w:p>
    <w:p>
      <w:pPr>
        <w:pStyle w:val="CaptionedFigure"/>
      </w:pPr>
      <w:r>
        <w:drawing>
          <wp:inline>
            <wp:extent cx="5334000" cy="2933700"/>
            <wp:effectExtent b="0" l="0" r="0" t="0"/>
            <wp:docPr descr="OPM HRIT on Oracle OCI — SSA Inter-Agency Integration via InfoBlox Certificate Monitor" title="" id="65" name="Picture"/>
            <a:graphic>
              <a:graphicData uri="http://schemas.openxmlformats.org/drawingml/2006/picture">
                <pic:pic>
                  <pic:nvPicPr>
                    <pic:cNvPr descr="figs/lz-fig-06-opm-hrit.png" id="66" name="Picture"/>
                    <pic:cNvPicPr>
                      <a:picLocks noChangeArrowheads="1" noChangeAspect="1"/>
                    </pic:cNvPicPr>
                  </pic:nvPicPr>
                  <pic:blipFill>
                    <a:blip r:embed="rId64"/>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OPM HRIT on Oracle OCI — SSA Inter-Agency Integration via InfoBlox Certificate Monitor</w:t>
      </w:r>
    </w:p>
    <w:p>
      <w:pPr>
        <w:pStyle w:val="BodyText"/>
      </w:pPr>
      <w:r>
        <w:t xml:space="preserve">OPM is migrating HRIT (federal HR and benefits processing) to Oracle HCM Cloud on OCI. As OPM’s HRIT moves to OCI-hosted SaaS, SSA’s integration path changes from a mainframe handoff to a cloud API call from SSA’s environment to OPM’s OCI-hosted service endpoints.</w:t>
      </w:r>
    </w:p>
    <w:p>
      <w:pPr>
        <w:pStyle w:val="BodyText"/>
      </w:pPr>
      <w:r>
        <w:rPr>
          <w:b/>
          <w:bCs/>
        </w:rPr>
        <w:t xml:space="preserve">The challenge:</w:t>
      </w:r>
      <w:r>
        <w:t xml:space="preserve"> </w:t>
      </w:r>
      <w:r>
        <w:t xml:space="preserve">OPM controls their OCI tenancy. SSA has no visibility into OPM’s certificate rotation schedule, IP range changes, or maintenance windows. When OPM rotates their HRIT API TLS certificate without SSA’s trust stores being updated, the HRIT API call fails — personnel action feeds stop, benefits enrollment breaks.</w:t>
      </w:r>
    </w:p>
    <w:p>
      <w:pPr>
        <w:pStyle w:val="BodyText"/>
      </w:pPr>
      <w:r>
        <w:rPr>
          <w:b/>
          <w:bCs/>
        </w:rPr>
        <w:t xml:space="preserve">InfoBlox manages SSA’s side of the integration:</w:t>
      </w:r>
    </w:p>
    <w:p>
      <w:pPr>
        <w:pStyle w:val="TableCaption"/>
      </w:pPr>
      <w:r>
        <w:t xml:space="preserve">OPM HRIT Integration via InfoBlox</w:t>
      </w:r>
    </w:p>
    <w:tbl>
      <w:tblPr>
        <w:tblStyle w:val="Table"/>
        <w:tblW w:type="pct" w:w="5000"/>
        <w:tblLayout w:type="fixed"/>
        <w:tblLook w:firstRow="1" w:lastRow="0" w:firstColumn="0" w:lastColumn="0" w:noHBand="0" w:noVBand="0" w:val="0020"/>
        <w:tblCaption w:val="OPM HRIT Integration via InfoBlox"/>
      </w:tblPr>
      <w:tblGrid>
        <w:gridCol w:w="3960"/>
        <w:gridCol w:w="3960"/>
      </w:tblGrid>
      <w:tr>
        <w:trPr>
          <w:tblHeader w:val="on"/>
        </w:trPr>
        <w:tc>
          <w:tcPr/>
          <w:p>
            <w:pPr>
              <w:pStyle w:val="Compact"/>
            </w:pPr>
            <w:r>
              <w:t xml:space="preserve">Integration Layer</w:t>
            </w:r>
          </w:p>
        </w:tc>
        <w:tc>
          <w:tcPr/>
          <w:p>
            <w:pPr>
              <w:pStyle w:val="Compact"/>
            </w:pPr>
            <w:r>
              <w:t xml:space="preserve">InfoBlox Capability</w:t>
            </w:r>
          </w:p>
        </w:tc>
      </w:tr>
      <w:tr>
        <w:tc>
          <w:tcPr/>
          <w:p>
            <w:pPr>
              <w:pStyle w:val="Compact"/>
            </w:pPr>
            <w:r>
              <w:t xml:space="preserve">DNS resolution</w:t>
            </w:r>
          </w:p>
        </w:tc>
        <w:tc>
          <w:tcPr/>
          <w:p>
            <w:pPr>
              <w:pStyle w:val="Compact"/>
            </w:pPr>
            <w:r>
              <w:t xml:space="preserve">Conditional forwarder:</w:t>
            </w:r>
            <w:r>
              <w:t xml:space="preserve"> </w:t>
            </w:r>
            <w:r>
              <w:rPr>
                <w:rStyle w:val="VerbatimChar"/>
              </w:rPr>
              <w:t xml:space="preserve">*.opm.gov</w:t>
            </w:r>
            <w:r>
              <w:t xml:space="preserve"> </w:t>
            </w:r>
            <w:r>
              <w:t xml:space="preserve">→ OCI DNS endpoint; InfoBlox resolves from SSA network</w:t>
            </w:r>
          </w:p>
        </w:tc>
      </w:tr>
      <w:tr>
        <w:tc>
          <w:tcPr/>
          <w:p>
            <w:pPr>
              <w:pStyle w:val="Compact"/>
            </w:pPr>
            <w:r>
              <w:t xml:space="preserve">IP documentation</w:t>
            </w:r>
          </w:p>
        </w:tc>
        <w:tc>
          <w:tcPr/>
          <w:p>
            <w:pPr>
              <w:pStyle w:val="Compact"/>
            </w:pPr>
            <w:r>
              <w:t xml:space="preserve">OPM HRIT OCI IPs imported as external host records (read-only OCI Network View); SA-9 table auto-generated</w:t>
            </w:r>
          </w:p>
        </w:tc>
      </w:tr>
      <w:tr>
        <w:tc>
          <w:tcPr/>
          <w:p>
            <w:pPr>
              <w:pStyle w:val="Compact"/>
            </w:pPr>
            <w:r>
              <w:t xml:space="preserve">Certificate monitoring</w:t>
            </w:r>
          </w:p>
        </w:tc>
        <w:tc>
          <w:tcPr/>
          <w:p>
            <w:pPr>
              <w:pStyle w:val="Compact"/>
            </w:pPr>
            <w:r>
              <w:t xml:space="preserve">InfoBlox Certificate Tracker polls OPM HRIT HTTPS endpoints; captures TLS cert thumbprint + expiry</w:t>
            </w:r>
          </w:p>
        </w:tc>
      </w:tr>
      <w:tr>
        <w:tc>
          <w:tcPr/>
          <w:p>
            <w:pPr>
              <w:pStyle w:val="Compact"/>
            </w:pPr>
            <w:r>
              <w:t xml:space="preserve">Expiry alerting</w:t>
            </w:r>
          </w:p>
        </w:tc>
        <w:tc>
          <w:tcPr/>
          <w:p>
            <w:pPr>
              <w:pStyle w:val="Compact"/>
            </w:pPr>
            <w:r>
              <w:t xml:space="preserve">90/30/7-day alerts give SSA advance notice of OPM cert rotation</w:t>
            </w:r>
          </w:p>
        </w:tc>
      </w:tr>
      <w:tr>
        <w:tc>
          <w:tcPr/>
          <w:p>
            <w:pPr>
              <w:pStyle w:val="Compact"/>
            </w:pPr>
            <w:r>
              <w:t xml:space="preserve">Trust store prep</w:t>
            </w:r>
          </w:p>
        </w:tc>
        <w:tc>
          <w:tcPr/>
          <w:p>
            <w:pPr>
              <w:pStyle w:val="Compact"/>
            </w:pPr>
            <w:r>
              <w:t xml:space="preserve">New OPM cert thumbprint pre-staged in InfoBlox before rotation day — zero-downtime update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important.png" id="6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OPM HRIT Pattern Repeats:</w:t>
            </w:r>
            <w:r>
              <w:t xml:space="preserve"> </w:t>
            </w:r>
            <w:r>
              <w:t xml:space="preserve">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tc>
      </w:tr>
    </w:tbl>
    <w:p>
      <w:r>
        <w:pict>
          <v:rect style="width:0;height:1.5pt" o:hralign="center" o:hrstd="t" o:hr="t"/>
        </w:pict>
      </w:r>
    </w:p>
    <w:bookmarkEnd w:id="69"/>
    <w:bookmarkEnd w:id="70"/>
    <w:bookmarkStart w:id="79" w:name="sec-certs"/>
    <w:p>
      <w:pPr>
        <w:pStyle w:val="Heading2"/>
      </w:pPr>
      <w:r>
        <w:t xml:space="preserve">4 Certificate Management and Cloud PKI Integration</w:t>
      </w:r>
    </w:p>
    <w:p>
      <w:pPr>
        <w:pStyle w:val="FirstParagraph"/>
      </w:pPr>
      <w:r>
        <w:t xml:space="preserve">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 This is not a convenience pairing: certificate issuance is itself a naming-plane function — CAA records govern which CAs may issue for a zone, and ACME DNS-01 validation proves domain control through the DNS the Grid is authoritative for. The full cryptographic-identity architecture built on this substrate is</w:t>
      </w:r>
      <w:r>
        <w:t xml:space="preserve"> </w:t>
      </w:r>
      <w:hyperlink r:id="rId71">
        <w:r>
          <w:rPr>
            <w:rStyle w:val="Hyperlink"/>
          </w:rPr>
          <w:t xml:space="preserve">Book 03</w:t>
        </w:r>
      </w:hyperlink>
      <w:r>
        <w:t xml:space="preserve">.</w:t>
      </w:r>
    </w:p>
    <w:p>
      <w:pPr>
        <w:pStyle w:val="CaptionedFigure"/>
      </w:pPr>
      <w:r>
        <w:drawing>
          <wp:inline>
            <wp:extent cx="5334000" cy="2963333"/>
            <wp:effectExtent b="0" l="0" r="0" t="0"/>
            <wp:docPr descr="Certificate Lifecycle: Automated from IP Allocation to mTLS" title="" id="73" name="Picture"/>
            <a:graphic>
              <a:graphicData uri="http://schemas.openxmlformats.org/drawingml/2006/picture">
                <pic:pic>
                  <pic:nvPicPr>
                    <pic:cNvPr descr="figs/lz-fig-09-cert-lifecycle.png" id="74" name="Picture"/>
                    <pic:cNvPicPr>
                      <a:picLocks noChangeArrowheads="1" noChangeAspect="1"/>
                    </pic:cNvPicPr>
                  </pic:nvPicPr>
                  <pic:blipFill>
                    <a:blip r:embed="rId7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Certificate Lifecycle: Automated from IP Allocation to mTLS</w:t>
      </w:r>
    </w:p>
    <w:bookmarkStart w:id="75" w:name="sec-cert-lifecycle"/>
    <w:p>
      <w:pPr>
        <w:pStyle w:val="Heading3"/>
      </w:pPr>
      <w:r>
        <w:t xml:space="preserve">4.1 The Certificate Lifecycle in a Multi-Cloud SDN Environment</w:t>
      </w:r>
    </w:p>
    <w:p>
      <w:pPr>
        <w:pStyle w:val="FirstParagraph"/>
      </w:pPr>
      <w:r>
        <w:t xml:space="preserve">The complete certificate lifecycle for a cloud workload follows this sequence:</w:t>
      </w:r>
    </w:p>
    <w:p>
      <w:pPr>
        <w:pStyle w:val="Compact"/>
        <w:numPr>
          <w:ilvl w:val="0"/>
          <w:numId w:val="1005"/>
        </w:numPr>
      </w:pPr>
      <w:r>
        <w:t xml:space="preserve">VM or container provisioned by VCF Automation, Terraform, or cloud-native IaC</w:t>
      </w:r>
    </w:p>
    <w:p>
      <w:pPr>
        <w:pStyle w:val="Compact"/>
        <w:numPr>
          <w:ilvl w:val="0"/>
          <w:numId w:val="1005"/>
        </w:numPr>
      </w:pPr>
      <w:r>
        <w:t xml:space="preserve">InfoBlox IPAM allocates an IP from the correct Network View (cross-cloud conflict-checked)</w:t>
      </w:r>
    </w:p>
    <w:p>
      <w:pPr>
        <w:pStyle w:val="Compact"/>
        <w:numPr>
          <w:ilvl w:val="0"/>
          <w:numId w:val="1005"/>
        </w:numPr>
      </w:pPr>
      <w:r>
        <w:t xml:space="preserve">InfoBlox Grid automatically creates a DNS A record:</w:t>
      </w:r>
      <w:r>
        <w:t xml:space="preserve"> </w:t>
      </w:r>
      <w:r>
        <w:rPr>
          <w:rStyle w:val="VerbatimChar"/>
        </w:rPr>
        <w:t xml:space="preserve">workload-name.environment.agency.gov → IP</w:t>
      </w:r>
    </w:p>
    <w:p>
      <w:pPr>
        <w:pStyle w:val="Compact"/>
        <w:numPr>
          <w:ilvl w:val="0"/>
          <w:numId w:val="1005"/>
        </w:numPr>
      </w:pPr>
      <w:r>
        <w:t xml:space="preserve">Workload bootstrap sends SCEP or EST enrollment to the agency CA using the DNS name as the certificate SAN</w:t>
      </w:r>
    </w:p>
    <w:p>
      <w:pPr>
        <w:pStyle w:val="Compact"/>
        <w:numPr>
          <w:ilvl w:val="0"/>
          <w:numId w:val="1005"/>
        </w:numPr>
      </w:pPr>
      <w:r>
        <w:t xml:space="preserve">CA (ADCS, Azure Key Vault with SCEP, AWS ACM Private CA) issues a certificate binding the SAN to the workload</w:t>
      </w:r>
    </w:p>
    <w:p>
      <w:pPr>
        <w:pStyle w:val="Compact"/>
        <w:numPr>
          <w:ilvl w:val="0"/>
          <w:numId w:val="1005"/>
        </w:numPr>
      </w:pPr>
      <w:r>
        <w:t xml:space="preserve">InfoBlox Certificate Tracker receives the certificate thumbprint, expiry, and issuing CA, binding it to the IP host record</w:t>
      </w:r>
    </w:p>
    <w:p>
      <w:pPr>
        <w:pStyle w:val="Compact"/>
        <w:numPr>
          <w:ilvl w:val="0"/>
          <w:numId w:val="1005"/>
        </w:numPr>
      </w:pPr>
      <w:r>
        <w:t xml:space="preserve">mTLS is active: the workload presents the certificate to authenticate to other services</w:t>
      </w:r>
    </w:p>
    <w:p>
      <w:pPr>
        <w:pStyle w:val="Compact"/>
        <w:numPr>
          <w:ilvl w:val="0"/>
          <w:numId w:val="1005"/>
        </w:numPr>
      </w:pPr>
      <w:r>
        <w:t xml:space="preserve">90/30/7 days before expiry, InfoBlox Certificate Tracker generates alerts for timely renewal</w:t>
      </w:r>
    </w:p>
    <w:bookmarkEnd w:id="75"/>
    <w:bookmarkStart w:id="78" w:name="sec-cert-platforms"/>
    <w:p>
      <w:pPr>
        <w:pStyle w:val="Heading3"/>
      </w:pPr>
      <w:r>
        <w:t xml:space="preserve">4.2 Integration with Each Cloud Certificate Manager</w:t>
      </w:r>
    </w:p>
    <w:p>
      <w:pPr>
        <w:pStyle w:val="TableCaption"/>
      </w:pPr>
      <w:r>
        <w:t xml:space="preserve">Certificate Manager Integrations</w:t>
      </w:r>
    </w:p>
    <w:tbl>
      <w:tblPr>
        <w:tblStyle w:val="Table"/>
        <w:tblW w:type="pct" w:w="5000"/>
        <w:tblLayout w:type="fixed"/>
        <w:tblLook w:firstRow="1" w:lastRow="0" w:firstColumn="0" w:lastColumn="0" w:noHBand="0" w:noVBand="0" w:val="0020"/>
        <w:tblCaption w:val="Certificate Manager Integrations"/>
      </w:tblPr>
      <w:tblGrid>
        <w:gridCol w:w="2640"/>
        <w:gridCol w:w="2640"/>
        <w:gridCol w:w="2640"/>
      </w:tblGrid>
      <w:tr>
        <w:trPr>
          <w:tblHeader w:val="on"/>
        </w:trPr>
        <w:tc>
          <w:tcPr/>
          <w:p>
            <w:pPr>
              <w:pStyle w:val="Compact"/>
            </w:pPr>
            <w:r>
              <w:t xml:space="preserve">Platform</w:t>
            </w:r>
          </w:p>
        </w:tc>
        <w:tc>
          <w:tcPr/>
          <w:p>
            <w:pPr>
              <w:pStyle w:val="Compact"/>
            </w:pPr>
            <w:r>
              <w:t xml:space="preserve">Integration Method</w:t>
            </w:r>
          </w:p>
        </w:tc>
        <w:tc>
          <w:tcPr/>
          <w:p>
            <w:pPr>
              <w:pStyle w:val="Compact"/>
            </w:pPr>
            <w:r>
              <w:t xml:space="preserve">InfoBlox Role</w:t>
            </w:r>
          </w:p>
        </w:tc>
      </w:tr>
      <w:tr>
        <w:tc>
          <w:tcPr/>
          <w:p>
            <w:pPr>
              <w:pStyle w:val="Compact"/>
            </w:pPr>
            <w:r>
              <w:rPr>
                <w:b/>
                <w:bCs/>
              </w:rPr>
              <w:t xml:space="preserve">ADCS (On-Prem)</w:t>
            </w:r>
          </w:p>
        </w:tc>
        <w:tc>
          <w:tcPr/>
          <w:p>
            <w:pPr>
              <w:pStyle w:val="Compact"/>
            </w:pPr>
            <w:r>
              <w:t xml:space="preserve">SCEP/EST connector; InfoBlox SCEP auto-enrollment</w:t>
            </w:r>
          </w:p>
        </w:tc>
        <w:tc>
          <w:tcPr/>
          <w:p>
            <w:pPr>
              <w:pStyle w:val="Compact"/>
            </w:pPr>
            <w:r>
              <w:t xml:space="preserve">Triggers enrollment on IP host record creation; binds cert thumbprint to IP record</w:t>
            </w:r>
          </w:p>
        </w:tc>
      </w:tr>
      <w:tr>
        <w:tc>
          <w:tcPr/>
          <w:p>
            <w:pPr>
              <w:pStyle w:val="Compact"/>
            </w:pPr>
            <w:r>
              <w:rPr>
                <w:b/>
                <w:bCs/>
              </w:rPr>
              <w:t xml:space="preserve">Azure Key Vault (GCC)</w:t>
            </w:r>
          </w:p>
        </w:tc>
        <w:tc>
          <w:tcPr/>
          <w:p>
            <w:pPr>
              <w:pStyle w:val="Compact"/>
            </w:pPr>
            <w:r>
              <w:t xml:space="preserve">Azure Key Vault REST API polling</w:t>
            </w:r>
          </w:p>
        </w:tc>
        <w:tc>
          <w:tcPr/>
          <w:p>
            <w:pPr>
              <w:pStyle w:val="Compact"/>
            </w:pPr>
            <w:r>
              <w:t xml:space="preserve">Imports cert metadata; correlates cert to Azure VM NIC IP; alerts on expiry</w:t>
            </w:r>
          </w:p>
        </w:tc>
      </w:tr>
      <w:tr>
        <w:tc>
          <w:tcPr/>
          <w:p>
            <w:pPr>
              <w:pStyle w:val="Compact"/>
            </w:pPr>
            <w:r>
              <w:rPr>
                <w:b/>
                <w:bCs/>
              </w:rPr>
              <w:t xml:space="preserve">AWS ACM Private CA</w:t>
            </w:r>
          </w:p>
        </w:tc>
        <w:tc>
          <w:tcPr/>
          <w:p>
            <w:pPr>
              <w:pStyle w:val="Compact"/>
            </w:pPr>
            <w:r>
              <w:t xml:space="preserve">ACM API; DNS validation CNAME auto-creation</w:t>
            </w:r>
          </w:p>
        </w:tc>
        <w:tc>
          <w:tcPr/>
          <w:p>
            <w:pPr>
              <w:pStyle w:val="Compact"/>
            </w:pPr>
            <w:r>
              <w:t xml:space="preserve">Creates ACM validation CNAMEs in Grid; tracks ACM PCA cert expiry</w:t>
            </w:r>
          </w:p>
        </w:tc>
      </w:tr>
      <w:tr>
        <w:tc>
          <w:tcPr/>
          <w:p>
            <w:pPr>
              <w:pStyle w:val="Compact"/>
            </w:pPr>
            <w:r>
              <w:rPr>
                <w:b/>
                <w:bCs/>
              </w:rPr>
              <w:t xml:space="preserve">Oracle OCI Certificates</w:t>
            </w:r>
          </w:p>
        </w:tc>
        <w:tc>
          <w:tcPr/>
          <w:p>
            <w:pPr>
              <w:pStyle w:val="Compact"/>
            </w:pPr>
            <w:r>
              <w:t xml:space="preserve">HTTPS endpoint polling (no OCI API needed)</w:t>
            </w:r>
          </w:p>
        </w:tc>
        <w:tc>
          <w:tcPr/>
          <w:p>
            <w:pPr>
              <w:pStyle w:val="Compact"/>
            </w:pPr>
            <w:r>
              <w:t xml:space="preserve">Imports OPM HRIT endpoint cert thumbprint; 90/30/7-day alerts to SSA team</w:t>
            </w:r>
          </w:p>
        </w:tc>
      </w:tr>
      <w:tr>
        <w:tc>
          <w:tcPr/>
          <w:p>
            <w:pPr>
              <w:pStyle w:val="Compact"/>
            </w:pPr>
            <w:r>
              <w:rPr>
                <w:b/>
                <w:bCs/>
              </w:rPr>
              <w:t xml:space="preserve">Keyfactor / Sectigo CLM</w:t>
            </w:r>
          </w:p>
        </w:tc>
        <w:tc>
          <w:tcPr/>
          <w:p>
            <w:pPr>
              <w:pStyle w:val="Compact"/>
            </w:pPr>
            <w:r>
              <w:t xml:space="preserve">Bidirectional API integration</w:t>
            </w:r>
          </w:p>
        </w:tc>
        <w:tc>
          <w:tcPr/>
          <w:p>
            <w:pPr>
              <w:pStyle w:val="Compact"/>
            </w:pPr>
            <w:r>
              <w:t xml:space="preserve">InfoBlox as DNS name SSOT for cert SAN validation; CLM uses InfoBlox IP ranges for discovery scanning</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tip.png" id="7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Zero Trust Enabler:</w:t>
            </w:r>
            <w:r>
              <w:t xml:space="preserve"> </w:t>
            </w:r>
            <w:r>
              <w:t xml:space="preserve">Certificate-to-IP binding in InfoBlox is the technical foundation of</w:t>
            </w:r>
            <w:r>
              <w:t xml:space="preserve"> </w:t>
            </w:r>
            <w:r>
              <w:t xml:space="preserve">‘never trust, always verify’</w:t>
            </w:r>
            <w:r>
              <w:t xml:space="preserve"> </w:t>
            </w:r>
            <w:r>
              <w:t xml:space="preserve">at the network layer. When every IP host record carries a certificate thumbprint and expiry date, the network infrastructure itself becomes identity-aware — a core requirement of CISA’s Zero Trust Maturity Model Networks pillar at Advanced/Optimal level.</w:t>
            </w:r>
          </w:p>
          <w:p/>
        </w:tc>
      </w:tr>
    </w:tbl>
    <w:p>
      <w:r>
        <w:pict>
          <v:rect style="width:0;height:1.5pt" o:hralign="center" o:hrstd="t" o:hr="t"/>
        </w:pict>
      </w:r>
    </w:p>
    <w:bookmarkEnd w:id="78"/>
    <w:bookmarkEnd w:id="79"/>
    <w:bookmarkStart w:id="93" w:name="sec-subdomain"/>
    <w:p>
      <w:pPr>
        <w:pStyle w:val="Heading2"/>
      </w:pPr>
      <w:r>
        <w:t xml:space="preserve">5 Subdomain Strategy and Namespace Design</w:t>
      </w:r>
    </w:p>
    <w:p>
      <w:pPr>
        <w:pStyle w:val="FirstParagraph"/>
      </w:pPr>
      <w:r>
        <w:t xml:space="preserve">A unified DDI control plane governs DNS only as well as the namespace it manages. InfoBlox can enforce policy, automate lifecycle, and generate compliance evidence across every zone it is authoritative for — but the structure of those zones determines whether the platform scales cleanly or accumulates the same sprawl it was deployed to fix. Subdomain strategy is the architectural decision that makes the DDI investment operationally sustainable.</w:t>
      </w:r>
    </w:p>
    <w:p>
      <w:pPr>
        <w:pStyle w:val="BodyText"/>
      </w:pPr>
      <w:r>
        <w:t xml:space="preserve">In modern hybrid multi-cloud environments, DNS is a</w:t>
      </w:r>
      <w:r>
        <w:t xml:space="preserve"> </w:t>
      </w:r>
      <w:r>
        <w:rPr>
          <w:b/>
          <w:bCs/>
        </w:rPr>
        <w:t xml:space="preserve">control plane</w:t>
      </w:r>
      <w:r>
        <w:t xml:space="preserve"> </w:t>
      </w:r>
      <w:r>
        <w:t xml:space="preserve">— not merely a name-to-IP directory. The namespace structure determines security policy scope (which RPZ rules apply to which services), certificate coverage (what wildcards are valid and at what depth), split-horizon resolution boundaries (which records are private vs. public), and the granularity of observability (whether a DNS query log entry identifies a cloud, environment, and service from the FQDN alone). Without deliberate namespace design, the outcome is DNS sprawl, certificate chaos, and opaque logs.</w:t>
      </w:r>
    </w:p>
    <w:bookmarkStart w:id="80" w:name="sec-subdomain-why"/>
    <w:p>
      <w:pPr>
        <w:pStyle w:val="Heading3"/>
      </w:pPr>
      <w:r>
        <w:t xml:space="preserve">5.1 Why Legacy DNS Fails in Multi-Cloud</w:t>
      </w:r>
    </w:p>
    <w:p>
      <w:pPr>
        <w:pStyle w:val="FirstParagraph"/>
      </w:pPr>
      <w:r>
        <w:t xml:space="preserve">Legacy DNS was designed for a flat environment: one zone, manual A records, a single trust boundary. SSA now operates across four cloud environments with dynamic workloads, ephemeral IPs, and a security model where every service-to-service call is mutually authenticated by certificate. Three failure modes emerge without namespace governance:</w:t>
      </w:r>
    </w:p>
    <w:p>
      <w:pPr>
        <w:pStyle w:val="BodyText"/>
      </w:pPr>
      <w:r>
        <w:rPr>
          <w:b/>
          <w:bCs/>
        </w:rPr>
        <w:t xml:space="preserve">Certificate chaos.</w:t>
      </w:r>
      <w:r>
        <w:t xml:space="preserve"> </w:t>
      </w:r>
      <w:r>
        <w:t xml:space="preserve">Wildcard certificates (</w:t>
      </w:r>
      <w:r>
        <w:rPr>
          <w:rStyle w:val="VerbatimChar"/>
        </w:rPr>
        <w:t xml:space="preserve">*.ssa.gov</w:t>
      </w:r>
      <w:r>
        <w:t xml:space="preserve">) match one label to the left of the wildcard per RFC 6125 — they cover</w:t>
      </w:r>
      <w:r>
        <w:t xml:space="preserve"> </w:t>
      </w:r>
      <w:r>
        <w:rPr>
          <w:rStyle w:val="VerbatimChar"/>
        </w:rPr>
        <w:t xml:space="preserve">api.ssa.gov</w:t>
      </w:r>
      <w:r>
        <w:t xml:space="preserve"> </w:t>
      </w:r>
      <w:r>
        <w:t xml:space="preserve">but not</w:t>
      </w:r>
      <w:r>
        <w:t xml:space="preserve"> </w:t>
      </w:r>
      <w:r>
        <w:rPr>
          <w:rStyle w:val="VerbatimChar"/>
        </w:rPr>
        <w:t xml:space="preserve">prod.api.ssa.gov</w:t>
      </w:r>
      <w:r>
        <w:t xml:space="preserve">. Without consistent subdomain depth, every new workload either requires a dedicated SAN certificate or causes a multi-SAN certificate to be manually updated. Structured subdomains enable structured wildcards:</w:t>
      </w:r>
      <w:r>
        <w:t xml:space="preserve"> </w:t>
      </w:r>
      <w:r>
        <w:rPr>
          <w:rStyle w:val="VerbatimChar"/>
        </w:rPr>
        <w:t xml:space="preserve">*.api.ssa.gov</w:t>
      </w:r>
      <w:r>
        <w:t xml:space="preserve"> </w:t>
      </w:r>
      <w:r>
        <w:t xml:space="preserve">covers all API workloads at one wildcard.</w:t>
      </w:r>
    </w:p>
    <w:p>
      <w:pPr>
        <w:pStyle w:val="BodyText"/>
      </w:pPr>
      <w:r>
        <w:rPr>
          <w:b/>
          <w:bCs/>
        </w:rPr>
        <w:t xml:space="preserve">Uncontrolled split-brain.</w:t>
      </w:r>
      <w:r>
        <w:t xml:space="preserve"> </w:t>
      </w:r>
      <w:r>
        <w:t xml:space="preserve">When internal and external DNS are not deliberately separated, the same FQDN resolves to different addresses by accident. Controlled split-horizon DNS is the same mechanism — intentional. Internal users get private resolution; external users get public resolution; InfoBlox view policy enforces both. Accidental split-brain is a misconfiguration; deliberate split-horizon is a security boundary.</w:t>
      </w:r>
    </w:p>
    <w:p>
      <w:pPr>
        <w:pStyle w:val="BodyText"/>
      </w:pPr>
      <w:r>
        <w:rPr>
          <w:b/>
          <w:bCs/>
        </w:rPr>
        <w:t xml:space="preserve">Opaque observability.</w:t>
      </w:r>
      <w:r>
        <w:t xml:space="preserve"> </w:t>
      </w:r>
      <w:r>
        <w:t xml:space="preserve">When all workloads resolve through undifferentiated names, a DNS query log cannot identify the cloud, environment, or service from the FQDN.</w:t>
      </w:r>
      <w:r>
        <w:t xml:space="preserve"> </w:t>
      </w:r>
      <w:r>
        <w:rPr>
          <w:rStyle w:val="VerbatimChar"/>
        </w:rPr>
        <w:t xml:space="preserve">prod.api.azure.ssa.gov</w:t>
      </w:r>
      <w:r>
        <w:t xml:space="preserve"> </w:t>
      </w:r>
      <w:r>
        <w:t xml:space="preserve">is self-documenting.</w:t>
      </w:r>
      <w:r>
        <w:t xml:space="preserve"> </w:t>
      </w:r>
      <w:r>
        <w:rPr>
          <w:rStyle w:val="VerbatimChar"/>
        </w:rPr>
        <w:t xml:space="preserve">svc-443-node7.ssa.gov</w:t>
      </w:r>
      <w:r>
        <w:t xml:space="preserve"> </w:t>
      </w:r>
      <w:r>
        <w:t xml:space="preserve">is not.</w:t>
      </w:r>
    </w:p>
    <w:bookmarkEnd w:id="80"/>
    <w:bookmarkStart w:id="84" w:name="sec-subdomain-structure"/>
    <w:p>
      <w:pPr>
        <w:pStyle w:val="Heading3"/>
      </w:pPr>
      <w:r>
        <w:t xml:space="preserve">5.2 SSA Namespace Structure</w:t>
      </w:r>
    </w:p>
    <w:p>
      <w:pPr>
        <w:pStyle w:val="FirstParagraph"/>
      </w:pPr>
      <w:r>
        <w:t xml:space="preserve">The following hierarchy applies five patterns — functional, geographic, environment, cloud-provider, and hybrid split-horizon — to SSA’s four-environment topology. Each leaf is a separately delegated zone in InfoBlox with its own DNSSEC signing policy, RBAC delegation, and RPZ attachment.</w:t>
      </w:r>
    </w:p>
    <w:p>
      <w:pPr>
        <w:pStyle w:val="SourceCode"/>
      </w:pPr>
      <w:r>
        <w:rPr>
          <w:rStyle w:val="VerbatimChar"/>
        </w:rPr>
        <w:t xml:space="preserve">ssa.gov                           (root — public, DNSSEC-signed, minimal records)</w:t>
      </w:r>
      <w:r>
        <w:br/>
      </w:r>
      <w:r>
        <w:rPr>
          <w:rStyle w:val="VerbatimChar"/>
        </w:rPr>
        <w:t xml:space="preserve">├── internal.ssa.gov              (split-view — private resolution only, never public)</w:t>
      </w:r>
      <w:r>
        <w:br/>
      </w:r>
      <w:r>
        <w:rPr>
          <w:rStyle w:val="VerbatimChar"/>
        </w:rPr>
        <w:t xml:space="preserve">│   ├── vmw.internal.ssa.gov     (VMware VCF on-premises workloads)</w:t>
      </w:r>
      <w:r>
        <w:br/>
      </w:r>
      <w:r>
        <w:rPr>
          <w:rStyle w:val="VerbatimChar"/>
        </w:rPr>
        <w:t xml:space="preserve">│   ├── azure.internal.ssa.gov   (Azure Government private endpoints, Arc-enrolled servers)</w:t>
      </w:r>
      <w:r>
        <w:br/>
      </w:r>
      <w:r>
        <w:rPr>
          <w:rStyle w:val="VerbatimChar"/>
        </w:rPr>
        <w:t xml:space="preserve">│   ├── aws.internal.ssa.gov     (AWS GovCloud VPC workloads)</w:t>
      </w:r>
      <w:r>
        <w:br/>
      </w:r>
      <w:r>
        <w:rPr>
          <w:rStyle w:val="VerbatimChar"/>
        </w:rPr>
        <w:t xml:space="preserve">│   └── oci.internal.ssa.gov     (Oracle OCI / OPM HRIT resources)</w:t>
      </w:r>
      <w:r>
        <w:br/>
      </w:r>
      <w:r>
        <w:rPr>
          <w:rStyle w:val="VerbatimChar"/>
        </w:rPr>
        <w:t xml:space="preserve">├── api.ssa.gov                   (backend services — split-view or public)</w:t>
      </w:r>
      <w:r>
        <w:br/>
      </w:r>
      <w:r>
        <w:rPr>
          <w:rStyle w:val="VerbatimChar"/>
        </w:rPr>
        <w:t xml:space="preserve">│   ├── prod.api.ssa.gov</w:t>
      </w:r>
      <w:r>
        <w:br/>
      </w:r>
      <w:r>
        <w:rPr>
          <w:rStyle w:val="VerbatimChar"/>
        </w:rPr>
        <w:t xml:space="preserve">│   └── staging.api.ssa.gov</w:t>
      </w:r>
      <w:r>
        <w:br/>
      </w:r>
      <w:r>
        <w:rPr>
          <w:rStyle w:val="VerbatimChar"/>
        </w:rPr>
        <w:t xml:space="preserve">├── auth.ssa.gov                  (Entra ID, SAML, OIDC endpoints)</w:t>
      </w:r>
      <w:r>
        <w:br/>
      </w:r>
      <w:r>
        <w:rPr>
          <w:rStyle w:val="VerbatimChar"/>
        </w:rPr>
        <w:t xml:space="preserve">├── vc.ssa.gov                    (video conferencing — Pexip, Teams Connector)</w:t>
      </w:r>
      <w:r>
        <w:br/>
      </w:r>
      <w:r>
        <w:rPr>
          <w:rStyle w:val="VerbatimChar"/>
        </w:rPr>
        <w:t xml:space="preserve">├── mgmt.ssa.gov                  (Azure Arc, Intune enrollment, management plane)</w:t>
      </w:r>
      <w:r>
        <w:br/>
      </w:r>
      <w:r>
        <w:rPr>
          <w:rStyle w:val="VerbatimChar"/>
        </w:rPr>
        <w:t xml:space="preserve">└── mon.ssa.gov                   (monitoring — ThousandEyes, Azure Monitor)</w:t>
      </w:r>
    </w:p>
    <w:p>
      <w:pPr>
        <w:pStyle w:val="CaptionedFigure"/>
      </w:pPr>
      <w:r>
        <w:drawing>
          <wp:inline>
            <wp:extent cx="5334000" cy="2359269"/>
            <wp:effectExtent b="0" l="0" r="0" t="0"/>
            <wp:docPr descr="SSA Subdomain Namespace Hierarchy — ssa.gov Zone Architecture" title="" id="82" name="Picture"/>
            <a:graphic>
              <a:graphicData uri="http://schemas.openxmlformats.org/drawingml/2006/picture">
                <pic:pic>
                  <pic:nvPicPr>
                    <pic:cNvPr descr="figs/lz-fig-16-subdomain-hierarchy.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SSA Subdomain Namespace Hierarchy — ssa.gov Zone Architecture</w:t>
      </w:r>
    </w:p>
    <w:p>
      <w:pPr>
        <w:pStyle w:val="BodyText"/>
      </w:pPr>
      <w:r>
        <w:rPr>
          <w:b/>
          <w:bCs/>
        </w:rPr>
        <w:t xml:space="preserve">Depth guideline:</w:t>
      </w:r>
      <w:r>
        <w:t xml:space="preserve"> </w:t>
      </w:r>
      <w:r>
        <w:t xml:space="preserve">Prefer three labels or fewer.</w:t>
      </w:r>
      <w:r>
        <w:t xml:space="preserve"> </w:t>
      </w:r>
      <w:r>
        <w:rPr>
          <w:rStyle w:val="VerbatimChar"/>
        </w:rPr>
        <w:t xml:space="preserve">prod.api.ssa.gov</w:t>
      </w:r>
      <w:r>
        <w:t xml:space="preserve"> </w:t>
      </w:r>
      <w:r>
        <w:t xml:space="preserve">is preferable to</w:t>
      </w:r>
      <w:r>
        <w:t xml:space="preserve"> </w:t>
      </w:r>
      <w:r>
        <w:rPr>
          <w:rStyle w:val="VerbatimChar"/>
        </w:rPr>
        <w:t xml:space="preserve">us-east.prod.api.ssa.gov</w:t>
      </w:r>
      <w:r>
        <w:t xml:space="preserve"> </w:t>
      </w:r>
      <w:r>
        <w:t xml:space="preserve">unless geography carries an independent operational meaning (separate certificate, separate RPZ policy, separate routing). Each additional label multiplies certificate scope complexity and diagnostic friction.</w:t>
      </w:r>
    </w:p>
    <w:bookmarkEnd w:id="84"/>
    <w:bookmarkStart w:id="85" w:name="sec-subdomain-certs"/>
    <w:p>
      <w:pPr>
        <w:pStyle w:val="Heading3"/>
      </w:pPr>
      <w:r>
        <w:t xml:space="preserve">5.3 Wildcard Certificate Alignment</w:t>
      </w:r>
    </w:p>
    <w:p>
      <w:pPr>
        <w:pStyle w:val="FirstParagraph"/>
      </w:pPr>
      <w:r>
        <w:t xml:space="preserve">The namespace structure directly determines certificate coverage. Each functional subdomain enables one wildcard covering all workloads in that function:</w:t>
      </w:r>
    </w:p>
    <w:p>
      <w:pPr>
        <w:pStyle w:val="TableCaption"/>
      </w:pPr>
      <w:r>
        <w:t xml:space="preserve">Wildcard certificate scope by namespace level</w:t>
      </w:r>
    </w:p>
    <w:tbl>
      <w:tblPr>
        <w:tblStyle w:val="Table"/>
        <w:tblW w:type="pct" w:w="5000"/>
        <w:tblLayout w:type="fixed"/>
        <w:tblLook w:firstRow="1" w:lastRow="0" w:firstColumn="0" w:lastColumn="0" w:noHBand="0" w:noVBand="0" w:val="0020"/>
        <w:tblCaption w:val="Wildcard certificate scope by namespace level"/>
      </w:tblPr>
      <w:tblGrid>
        <w:gridCol w:w="2640"/>
        <w:gridCol w:w="2640"/>
        <w:gridCol w:w="2640"/>
      </w:tblGrid>
      <w:tr>
        <w:trPr>
          <w:tblHeader w:val="on"/>
        </w:trPr>
        <w:tc>
          <w:tcPr/>
          <w:p>
            <w:pPr>
              <w:pStyle w:val="Compact"/>
            </w:pPr>
            <w:r>
              <w:t xml:space="preserve">Wildcard</w:t>
            </w:r>
          </w:p>
        </w:tc>
        <w:tc>
          <w:tcPr/>
          <w:p>
            <w:pPr>
              <w:pStyle w:val="Compact"/>
            </w:pPr>
            <w:r>
              <w:t xml:space="preserve">Covers</w:t>
            </w:r>
          </w:p>
        </w:tc>
        <w:tc>
          <w:tcPr/>
          <w:p>
            <w:pPr>
              <w:pStyle w:val="Compact"/>
            </w:pPr>
            <w:r>
              <w:t xml:space="preserve">Does Not Cover</w:t>
            </w:r>
          </w:p>
        </w:tc>
      </w:tr>
      <w:tr>
        <w:tc>
          <w:tcPr/>
          <w:p>
            <w:pPr>
              <w:pStyle w:val="Compact"/>
            </w:pPr>
            <w:r>
              <w:rPr>
                <w:rStyle w:val="VerbatimChar"/>
              </w:rPr>
              <w:t xml:space="preserve">*.ssa.gov</w:t>
            </w:r>
          </w:p>
        </w:tc>
        <w:tc>
          <w:tcPr/>
          <w:p>
            <w:pPr>
              <w:pStyle w:val="Compact"/>
            </w:pPr>
            <w:r>
              <w:rPr>
                <w:rStyle w:val="VerbatimChar"/>
              </w:rPr>
              <w:t xml:space="preserve">api.ssa.gov</w:t>
            </w:r>
            <w:r>
              <w:t xml:space="preserve">,</w:t>
            </w:r>
            <w:r>
              <w:t xml:space="preserve"> </w:t>
            </w:r>
            <w:r>
              <w:rPr>
                <w:rStyle w:val="VerbatimChar"/>
              </w:rPr>
              <w:t xml:space="preserve">vc.ssa.gov</w:t>
            </w:r>
            <w:r>
              <w:t xml:space="preserve">,</w:t>
            </w:r>
            <w:r>
              <w:t xml:space="preserve"> </w:t>
            </w:r>
            <w:r>
              <w:rPr>
                <w:rStyle w:val="VerbatimChar"/>
              </w:rPr>
              <w:t xml:space="preserve">auth.ssa.gov</w:t>
            </w:r>
          </w:p>
        </w:tc>
        <w:tc>
          <w:tcPr/>
          <w:p>
            <w:pPr>
              <w:pStyle w:val="Compact"/>
            </w:pPr>
            <w:r>
              <w:rPr>
                <w:rStyle w:val="VerbatimChar"/>
              </w:rPr>
              <w:t xml:space="preserve">prod.api.ssa.gov</w:t>
            </w:r>
            <w:r>
              <w:t xml:space="preserve">,</w:t>
            </w:r>
            <w:r>
              <w:t xml:space="preserve"> </w:t>
            </w:r>
            <w:r>
              <w:rPr>
                <w:rStyle w:val="VerbatimChar"/>
              </w:rPr>
              <w:t xml:space="preserve">us-east.vc.ssa.gov</w:t>
            </w:r>
          </w:p>
        </w:tc>
      </w:tr>
      <w:tr>
        <w:tc>
          <w:tcPr/>
          <w:p>
            <w:pPr>
              <w:pStyle w:val="Compact"/>
            </w:pPr>
            <w:r>
              <w:rPr>
                <w:rStyle w:val="VerbatimChar"/>
              </w:rPr>
              <w:t xml:space="preserve">*.api.ssa.gov</w:t>
            </w:r>
          </w:p>
        </w:tc>
        <w:tc>
          <w:tcPr/>
          <w:p>
            <w:pPr>
              <w:pStyle w:val="Compact"/>
            </w:pPr>
            <w:r>
              <w:rPr>
                <w:rStyle w:val="VerbatimChar"/>
              </w:rPr>
              <w:t xml:space="preserve">prod.api.ssa.gov</w:t>
            </w:r>
            <w:r>
              <w:t xml:space="preserve">,</w:t>
            </w:r>
            <w:r>
              <w:t xml:space="preserve"> </w:t>
            </w:r>
            <w:r>
              <w:rPr>
                <w:rStyle w:val="VerbatimChar"/>
              </w:rPr>
              <w:t xml:space="preserve">staging.api.ssa.gov</w:t>
            </w:r>
          </w:p>
        </w:tc>
        <w:tc>
          <w:tcPr/>
          <w:p>
            <w:pPr>
              <w:pStyle w:val="Compact"/>
            </w:pPr>
            <w:r>
              <w:t xml:space="preserve">deeper labels</w:t>
            </w:r>
          </w:p>
        </w:tc>
      </w:tr>
      <w:tr>
        <w:tc>
          <w:tcPr/>
          <w:p>
            <w:pPr>
              <w:pStyle w:val="Compact"/>
            </w:pPr>
            <w:r>
              <w:rPr>
                <w:rStyle w:val="VerbatimChar"/>
              </w:rPr>
              <w:t xml:space="preserve">*.internal.ssa.gov</w:t>
            </w:r>
          </w:p>
        </w:tc>
        <w:tc>
          <w:tcPr/>
          <w:p>
            <w:pPr>
              <w:pStyle w:val="Compact"/>
            </w:pPr>
            <w:r>
              <w:rPr>
                <w:rStyle w:val="VerbatimChar"/>
              </w:rPr>
              <w:t xml:space="preserve">vmw.internal.ssa.gov</w:t>
            </w:r>
            <w:r>
              <w:t xml:space="preserve">,</w:t>
            </w:r>
            <w:r>
              <w:t xml:space="preserve"> </w:t>
            </w:r>
            <w:r>
              <w:rPr>
                <w:rStyle w:val="VerbatimChar"/>
              </w:rPr>
              <w:t xml:space="preserve">azure.internal.ssa.gov</w:t>
            </w:r>
          </w:p>
        </w:tc>
        <w:tc>
          <w:tcPr/>
          <w:p>
            <w:pPr>
              <w:pStyle w:val="Compact"/>
            </w:pPr>
            <w:r>
              <w:t xml:space="preserve">deeper labels</w:t>
            </w:r>
          </w:p>
        </w:tc>
      </w:tr>
      <w:tr>
        <w:tc>
          <w:tcPr/>
          <w:p>
            <w:pPr>
              <w:pStyle w:val="Compact"/>
            </w:pPr>
            <w:r>
              <w:rPr>
                <w:rStyle w:val="VerbatimChar"/>
              </w:rPr>
              <w:t xml:space="preserve">*.vc.ssa.gov</w:t>
            </w:r>
          </w:p>
        </w:tc>
        <w:tc>
          <w:tcPr/>
          <w:p>
            <w:pPr>
              <w:pStyle w:val="Compact"/>
            </w:pPr>
            <w:r>
              <w:t xml:space="preserve">all video conferencing endpoints</w:t>
            </w:r>
          </w:p>
        </w:tc>
        <w:tc>
          <w:tcPr/>
          <w:p>
            <w:pPr>
              <w:pStyle w:val="Compact"/>
            </w:pPr>
            <w:r>
              <w:t xml:space="preserve">deeper labels</w:t>
            </w:r>
          </w:p>
        </w:tc>
      </w:tr>
    </w:tbl>
    <w:p>
      <w:pPr>
        <w:pStyle w:val="BodyText"/>
      </w:pPr>
      <w:r>
        <w:t xml:space="preserve">The certificate lifecycle described in</w:t>
      </w:r>
      <w:r>
        <w:t xml:space="preserve"> </w:t>
      </w:r>
      <w:hyperlink w:anchor="sec-certs">
        <w:r>
          <w:rPr>
            <w:rStyle w:val="Hyperlink"/>
          </w:rPr>
          <w:t xml:space="preserve">Section 4</w:t>
        </w:r>
      </w:hyperlink>
      <w:r>
        <w:t xml:space="preserve"> </w:t>
      </w:r>
      <w:r>
        <w:t xml:space="preserve">— SCEP enrollment triggered by InfoBlox IP host record creation — follows this wildcard boundary. When a new workload provisions in</w:t>
      </w:r>
      <w:r>
        <w:t xml:space="preserve"> </w:t>
      </w:r>
      <w:r>
        <w:rPr>
          <w:rStyle w:val="VerbatimChar"/>
        </w:rPr>
        <w:t xml:space="preserve">azure.internal.ssa.gov</w:t>
      </w:r>
      <w:r>
        <w:t xml:space="preserve">, InfoBlox creates the DNS record and triggers SCEP enrollment against the Azure GCC private CA, issuing a certificate with a SAN valid under</w:t>
      </w:r>
      <w:r>
        <w:t xml:space="preserve"> </w:t>
      </w:r>
      <w:r>
        <w:rPr>
          <w:rStyle w:val="VerbatimChar"/>
        </w:rPr>
        <w:t xml:space="preserve">*.azure.internal.ssa.gov</w:t>
      </w:r>
      <w:r>
        <w:t xml:space="preserve">. The namespace zone determines the CA path; no per-workload certificate configuration is required.</w:t>
      </w:r>
    </w:p>
    <w:bookmarkEnd w:id="85"/>
    <w:bookmarkStart w:id="89" w:name="sec-subdomain-split"/>
    <w:p>
      <w:pPr>
        <w:pStyle w:val="Heading3"/>
      </w:pPr>
      <w:r>
        <w:t xml:space="preserve">5.4 Split-Horizon DNS — InfoBlox View Configuration</w:t>
      </w:r>
    </w:p>
    <w:p>
      <w:pPr>
        <w:pStyle w:val="FirstParagraph"/>
      </w:pPr>
      <w:r>
        <w:t xml:space="preserve">Split-horizon DNS configures InfoBlox to return different answers to the same query depending on the requestor’s source network. Internal SSA users receive private IP addresses; external internet requestors receive public IPs or NXDOMAIN for private-only zones. The application FQDN is identical in both cases — the split is enforced at the InfoBlox view layer, transparent to clients.</w:t>
      </w:r>
    </w:p>
    <w:p>
      <w:pPr>
        <w:pStyle w:val="BodyText"/>
      </w:pPr>
      <w:r>
        <w:t xml:space="preserve">InfoBlox DNS views for SSA’s four-environment topology:</w:t>
      </w:r>
    </w:p>
    <w:p>
      <w:pPr>
        <w:pStyle w:val="TableCaption"/>
      </w:pPr>
      <w:r>
        <w:t xml:space="preserve">InfoBlox DNS view configuration for SSA</w:t>
      </w:r>
    </w:p>
    <w:tbl>
      <w:tblPr>
        <w:tblStyle w:val="Table"/>
        <w:tblW w:type="pct" w:w="5000"/>
        <w:tblLayout w:type="fixed"/>
        <w:tblLook w:firstRow="1" w:lastRow="0" w:firstColumn="0" w:lastColumn="0" w:noHBand="0" w:noVBand="0" w:val="0020"/>
        <w:tblCaption w:val="InfoBlox DNS view configuration for SSA"/>
      </w:tblPr>
      <w:tblGrid>
        <w:gridCol w:w="1980"/>
        <w:gridCol w:w="1980"/>
        <w:gridCol w:w="1980"/>
        <w:gridCol w:w="1980"/>
      </w:tblGrid>
      <w:tr>
        <w:trPr>
          <w:tblHeader w:val="on"/>
        </w:trPr>
        <w:tc>
          <w:tcPr/>
          <w:p>
            <w:pPr>
              <w:pStyle w:val="Compact"/>
            </w:pPr>
            <w:r>
              <w:t xml:space="preserve">View</w:t>
            </w:r>
          </w:p>
        </w:tc>
        <w:tc>
          <w:tcPr/>
          <w:p>
            <w:pPr>
              <w:pStyle w:val="Compact"/>
            </w:pPr>
            <w:r>
              <w:t xml:space="preserve">Source Networks</w:t>
            </w:r>
          </w:p>
        </w:tc>
        <w:tc>
          <w:tcPr/>
          <w:p>
            <w:pPr>
              <w:pStyle w:val="Compact"/>
            </w:pPr>
            <w:r>
              <w:t xml:space="preserve">Zones Served</w:t>
            </w:r>
          </w:p>
        </w:tc>
        <w:tc>
          <w:tcPr/>
          <w:p>
            <w:pPr>
              <w:pStyle w:val="Compact"/>
            </w:pPr>
            <w:r>
              <w:t xml:space="preserve">Private IPs Exposed</w:t>
            </w:r>
          </w:p>
        </w:tc>
      </w:tr>
      <w:tr>
        <w:tc>
          <w:tcPr/>
          <w:p>
            <w:pPr>
              <w:pStyle w:val="Compact"/>
            </w:pPr>
            <w:r>
              <w:rPr>
                <w:rStyle w:val="VerbatimChar"/>
              </w:rPr>
              <w:t xml:space="preserve">internal-view</w:t>
            </w:r>
          </w:p>
        </w:tc>
        <w:tc>
          <w:tcPr/>
          <w:p>
            <w:pPr>
              <w:pStyle w:val="Compact"/>
            </w:pPr>
            <w:r>
              <w:t xml:space="preserve">10.0.0.0/8, VPN pool CIDRs</w:t>
            </w:r>
          </w:p>
        </w:tc>
        <w:tc>
          <w:tcPr/>
          <w:p>
            <w:pPr>
              <w:pStyle w:val="Compact"/>
            </w:pPr>
            <w:r>
              <w:rPr>
                <w:rStyle w:val="VerbatimChar"/>
              </w:rPr>
              <w:t xml:space="preserve">internal.ssa.gov</w:t>
            </w:r>
            <w:r>
              <w:t xml:space="preserve">,</w:t>
            </w:r>
            <w:r>
              <w:t xml:space="preserve"> </w:t>
            </w:r>
            <w:r>
              <w:rPr>
                <w:rStyle w:val="VerbatimChar"/>
              </w:rPr>
              <w:t xml:space="preserve">ssa.gov</w:t>
            </w:r>
            <w:r>
              <w:t xml:space="preserve"> </w:t>
            </w:r>
            <w:r>
              <w:t xml:space="preserve">(private records)</w:t>
            </w:r>
          </w:p>
        </w:tc>
        <w:tc>
          <w:tcPr/>
          <w:p>
            <w:pPr>
              <w:pStyle w:val="Compact"/>
            </w:pPr>
            <w:r>
              <w:t xml:space="preserve">Yes</w:t>
            </w:r>
          </w:p>
        </w:tc>
      </w:tr>
      <w:tr>
        <w:tc>
          <w:tcPr/>
          <w:p>
            <w:pPr>
              <w:pStyle w:val="Compact"/>
            </w:pPr>
            <w:r>
              <w:rPr>
                <w:rStyle w:val="VerbatimChar"/>
              </w:rPr>
              <w:t xml:space="preserve">cloud-internal-view</w:t>
            </w:r>
          </w:p>
        </w:tc>
        <w:tc>
          <w:tcPr/>
          <w:p>
            <w:pPr>
              <w:pStyle w:val="Compact"/>
            </w:pPr>
            <w:r>
              <w:t xml:space="preserve">Azure VNet CIDRs, AWS VPC CIDRs, OCI VCN CIDRs</w:t>
            </w:r>
          </w:p>
        </w:tc>
        <w:tc>
          <w:tcPr/>
          <w:p>
            <w:pPr>
              <w:pStyle w:val="Compact"/>
            </w:pPr>
            <w:r>
              <w:rPr>
                <w:rStyle w:val="VerbatimChar"/>
              </w:rPr>
              <w:t xml:space="preserve">*.internal.ssa.gov</w:t>
            </w:r>
            <w:r>
              <w:t xml:space="preserve">, conditional forwarders to cloud-native DNS</w:t>
            </w:r>
          </w:p>
        </w:tc>
        <w:tc>
          <w:tcPr/>
          <w:p>
            <w:pPr>
              <w:pStyle w:val="Compact"/>
            </w:pPr>
            <w:r>
              <w:t xml:space="preserve">Yes</w:t>
            </w:r>
          </w:p>
        </w:tc>
      </w:tr>
      <w:tr>
        <w:tc>
          <w:tcPr/>
          <w:p>
            <w:pPr>
              <w:pStyle w:val="Compact"/>
            </w:pPr>
            <w:r>
              <w:rPr>
                <w:rStyle w:val="VerbatimChar"/>
              </w:rPr>
              <w:t xml:space="preserve">external-view</w:t>
            </w:r>
          </w:p>
        </w:tc>
        <w:tc>
          <w:tcPr/>
          <w:p>
            <w:pPr>
              <w:pStyle w:val="Compact"/>
            </w:pPr>
            <w:r>
              <w:t xml:space="preserve">All other sources (internet)</w:t>
            </w:r>
          </w:p>
        </w:tc>
        <w:tc>
          <w:tcPr/>
          <w:p>
            <w:pPr>
              <w:pStyle w:val="Compact"/>
            </w:pPr>
            <w:r>
              <w:rPr>
                <w:rStyle w:val="VerbatimChar"/>
              </w:rPr>
              <w:t xml:space="preserve">ssa.gov</w:t>
            </w:r>
            <w:r>
              <w:t xml:space="preserve"> </w:t>
            </w:r>
            <w:r>
              <w:t xml:space="preserve">public records only, DNSSEC-signed</w:t>
            </w:r>
          </w:p>
        </w:tc>
        <w:tc>
          <w:tcPr/>
          <w:p>
            <w:pPr>
              <w:pStyle w:val="Compact"/>
            </w:pPr>
            <w:r>
              <w:t xml:space="preserve">No</w:t>
            </w:r>
          </w:p>
        </w:tc>
      </w:tr>
    </w:tbl>
    <w:p>
      <w:pPr>
        <w:pStyle w:val="BodyText"/>
      </w:pPr>
      <w:r>
        <w:t xml:space="preserve">The</w:t>
      </w:r>
      <w:r>
        <w:t xml:space="preserve"> </w:t>
      </w:r>
      <w:r>
        <w:rPr>
          <w:rStyle w:val="VerbatimChar"/>
        </w:rPr>
        <w:t xml:space="preserve">internal.ssa.gov</w:t>
      </w:r>
      <w:r>
        <w:t xml:space="preserve"> </w:t>
      </w:r>
      <w:r>
        <w:t xml:space="preserve">zone exists</w:t>
      </w:r>
      <w:r>
        <w:t xml:space="preserve"> </w:t>
      </w:r>
      <w:r>
        <w:rPr>
          <w:b/>
          <w:bCs/>
        </w:rPr>
        <w:t xml:space="preserve">only</w:t>
      </w:r>
      <w:r>
        <w:t xml:space="preserve"> </w:t>
      </w:r>
      <w:r>
        <w:t xml:space="preserve">in the</w:t>
      </w:r>
      <w:r>
        <w:t xml:space="preserve"> </w:t>
      </w:r>
      <w:r>
        <w:rPr>
          <w:rStyle w:val="VerbatimChar"/>
        </w:rPr>
        <w:t xml:space="preserve">internal-view</w:t>
      </w:r>
      <w:r>
        <w:t xml:space="preserve">. A request from an internet source hits the</w:t>
      </w:r>
      <w:r>
        <w:t xml:space="preserve"> </w:t>
      </w:r>
      <w:r>
        <w:rPr>
          <w:rStyle w:val="VerbatimChar"/>
        </w:rPr>
        <w:t xml:space="preserve">external-view</w:t>
      </w:r>
      <w:r>
        <w:t xml:space="preserve">, which has no</w:t>
      </w:r>
      <w:r>
        <w:t xml:space="preserve"> </w:t>
      </w:r>
      <w:r>
        <w:rPr>
          <w:rStyle w:val="VerbatimChar"/>
        </w:rPr>
        <w:t xml:space="preserve">internal.ssa.gov</w:t>
      </w:r>
      <w:r>
        <w:t xml:space="preserve"> </w:t>
      </w:r>
      <w:r>
        <w:t xml:space="preserve">zone — the response is NXDOMAIN. Private IP space never appears in the external view.</w:t>
      </w:r>
    </w:p>
    <w:p>
      <w:pPr>
        <w:pStyle w:val="BodyText"/>
      </w:pPr>
      <w:r>
        <w:rPr>
          <w:b/>
          <w:bCs/>
        </w:rPr>
        <w:t xml:space="preserve">Integration with cloud-native DNS:</w:t>
      </w:r>
      <w:r>
        <w:t xml:space="preserve"> </w:t>
      </w:r>
      <w:r>
        <w:t xml:space="preserve">Azure Private DNS Zones (e.g.,</w:t>
      </w:r>
      <w:r>
        <w:t xml:space="preserve"> </w:t>
      </w:r>
      <w:r>
        <w:rPr>
          <w:rStyle w:val="VerbatimChar"/>
        </w:rPr>
        <w:t xml:space="preserve">privatelink.database.windows.net</w:t>
      </w:r>
      <w:r>
        <w:t xml:space="preserve"> </w:t>
      </w:r>
      <w:r>
        <w:t xml:space="preserve">for SQL managed instances) are reachable from on-premises via conditional forwarders in InfoBlox — queries for</w:t>
      </w:r>
      <w:r>
        <w:t xml:space="preserve"> </w:t>
      </w:r>
      <w:r>
        <w:rPr>
          <w:rStyle w:val="VerbatimChar"/>
        </w:rPr>
        <w:t xml:space="preserve">*.privatelink.database.windows.net</w:t>
      </w:r>
      <w:r>
        <w:t xml:space="preserve"> </w:t>
      </w:r>
      <w:r>
        <w:t xml:space="preserve">are forwarded to the Azure Private DNS Resolver inbound endpoint in SSA’s Azure VNet. AWS Route 53 Resolver inbound endpoints serve the same function for GovCloud VPC private zones. Legacy Active Directory DNS servers forward queries for modern subdomains (</w:t>
      </w:r>
      <w:r>
        <w:rPr>
          <w:rStyle w:val="VerbatimChar"/>
        </w:rPr>
        <w:t xml:space="preserve">api.ssa.gov</w:t>
      </w:r>
      <w:r>
        <w:t xml:space="preserve">,</w:t>
      </w:r>
      <w:r>
        <w:t xml:space="preserve"> </w:t>
      </w:r>
      <w:r>
        <w:rPr>
          <w:rStyle w:val="VerbatimChar"/>
        </w:rPr>
        <w:t xml:space="preserve">vc.ssa.gov</w:t>
      </w:r>
      <w:r>
        <w:t xml:space="preserve">) to InfoBlox via stub zones — AD DNS remains authoritative only for Kerberos and LDAP SRV records.</w:t>
      </w:r>
    </w:p>
    <w:p>
      <w:pPr>
        <w:pStyle w:val="BodyText"/>
      </w:pPr>
      <w:r>
        <w:rPr>
          <w:b/>
          <w:bCs/>
        </w:rPr>
        <w:t xml:space="preserve">M365 GCC boundary enforcement via split-horizon:</w:t>
      </w:r>
      <w:r>
        <w:t xml:space="preserve"> </w:t>
      </w:r>
      <w:r>
        <w:t xml:space="preserve">The</w:t>
      </w:r>
      <w:r>
        <w:t xml:space="preserve"> </w:t>
      </w:r>
      <w:r>
        <w:rPr>
          <w:rStyle w:val="VerbatimChar"/>
        </w:rPr>
        <w:t xml:space="preserve">external-view</w:t>
      </w:r>
      <w:r>
        <w:t xml:space="preserve"> </w:t>
      </w:r>
      <w:r>
        <w:t xml:space="preserve">resolves M365 endpoints to public Microsoft IPs. The</w:t>
      </w:r>
      <w:r>
        <w:t xml:space="preserve"> </w:t>
      </w:r>
      <w:r>
        <w:rPr>
          <w:rStyle w:val="VerbatimChar"/>
        </w:rPr>
        <w:t xml:space="preserve">internal-view</w:t>
      </w:r>
      <w:r>
        <w:t xml:space="preserve"> </w:t>
      </w:r>
      <w:r>
        <w:t xml:space="preserve">enforces the M365 GCC allow-list via RPZ — clients inside SSA’s network that resolve a Microsoft endpoint not on the current GCC allow-list receive an RPZ block response before any TCP connection is attempted. The split-horizon view is the enforcement boundary; the allow-list is the policy.</w:t>
      </w:r>
    </w:p>
    <w:p>
      <w:pPr>
        <w:pStyle w:val="CaptionedFigure"/>
      </w:pPr>
      <w:r>
        <w:drawing>
          <wp:inline>
            <wp:extent cx="5334000" cy="2359269"/>
            <wp:effectExtent b="0" l="0" r="0" t="0"/>
            <wp:docPr descr="InfoBlox Split-Horizon DNS — Three-View Configuration for SSA" title="" id="87" name="Picture"/>
            <a:graphic>
              <a:graphicData uri="http://schemas.openxmlformats.org/drawingml/2006/picture">
                <pic:pic>
                  <pic:nvPicPr>
                    <pic:cNvPr descr="figs/lz-fig-17-split-horizon.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InfoBlox Split-Horizon DNS — Three-View Configuration for SSA</w:t>
      </w:r>
    </w:p>
    <w:bookmarkEnd w:id="89"/>
    <w:bookmarkStart w:id="90" w:name="sec-subdomain-iac"/>
    <w:p>
      <w:pPr>
        <w:pStyle w:val="Heading3"/>
      </w:pPr>
      <w:r>
        <w:t xml:space="preserve">5.5 IaC and Automation Integration</w:t>
      </w:r>
    </w:p>
    <w:p>
      <w:pPr>
        <w:pStyle w:val="FirstParagraph"/>
      </w:pPr>
      <w:r>
        <w:t xml:space="preserve">The InfoBlox Terraform provider (</w:t>
      </w:r>
      <w:r>
        <w:rPr>
          <w:rStyle w:val="VerbatimChar"/>
        </w:rPr>
        <w:t xml:space="preserve">infoblox/infoblox</w:t>
      </w:r>
      <w:r>
        <w:t xml:space="preserve">) manages zones, records, and views as infrastructure-as-code. All zone creation and delegation follows the same GitOps pipeline as SSA’s cloud infrastructure.</w:t>
      </w:r>
    </w:p>
    <w:p>
      <w:pPr>
        <w:pStyle w:val="SourceCode"/>
      </w:pPr>
      <w:r>
        <w:rPr>
          <w:rStyle w:val="VerbatimChar"/>
        </w:rPr>
        <w:t xml:space="preserve"># Functional zone for video conferencing — delegated with RBAC to AV team</w:t>
      </w:r>
      <w:r>
        <w:br/>
      </w:r>
      <w:r>
        <w:rPr>
          <w:rStyle w:val="VerbatimChar"/>
        </w:rPr>
        <w:t xml:space="preserve">resource "infoblox_zone_auth" "vc_zone" {</w:t>
      </w:r>
      <w:r>
        <w:br/>
      </w:r>
      <w:r>
        <w:rPr>
          <w:rStyle w:val="VerbatimChar"/>
        </w:rPr>
        <w:t xml:space="preserve">  fqdn    = "vc.ssa.gov"</w:t>
      </w:r>
      <w:r>
        <w:br/>
      </w:r>
      <w:r>
        <w:rPr>
          <w:rStyle w:val="VerbatimChar"/>
        </w:rPr>
        <w:t xml:space="preserve">  view    = "external"</w:t>
      </w:r>
      <w:r>
        <w:br/>
      </w:r>
      <w:r>
        <w:rPr>
          <w:rStyle w:val="VerbatimChar"/>
        </w:rPr>
        <w:t xml:space="preserve">  comment = "Pexip and Teams Connector endpoints"</w:t>
      </w:r>
      <w:r>
        <w:br/>
      </w:r>
      <w:r>
        <w:rPr>
          <w:rStyle w:val="VerbatimChar"/>
        </w:rPr>
        <w:t xml:space="preserve">}</w:t>
      </w:r>
      <w:r>
        <w:br/>
      </w:r>
      <w:r>
        <w:br/>
      </w:r>
      <w:r>
        <w:rPr>
          <w:rStyle w:val="VerbatimChar"/>
        </w:rPr>
        <w:t xml:space="preserve"># Blue/green Teams Connector — low TTL for fast cutover</w:t>
      </w:r>
      <w:r>
        <w:br/>
      </w:r>
      <w:r>
        <w:rPr>
          <w:rStyle w:val="VerbatimChar"/>
        </w:rPr>
        <w:t xml:space="preserve">resource "infoblox_cname_record" "teamsconn_active" {</w:t>
      </w:r>
      <w:r>
        <w:br/>
      </w:r>
      <w:r>
        <w:rPr>
          <w:rStyle w:val="VerbatimChar"/>
        </w:rPr>
        <w:t xml:space="preserve">  alias     = "teamsconn.vc.ssa.gov"</w:t>
      </w:r>
      <w:r>
        <w:br/>
      </w:r>
      <w:r>
        <w:rPr>
          <w:rStyle w:val="VerbatimChar"/>
        </w:rPr>
        <w:t xml:space="preserve">  canonical = "blue.teamsconn.vc.ssa.gov"  # swap to green.teamsconn.vc.ssa.gov for cutover</w:t>
      </w:r>
      <w:r>
        <w:br/>
      </w:r>
      <w:r>
        <w:rPr>
          <w:rStyle w:val="VerbatimChar"/>
        </w:rPr>
        <w:t xml:space="preserve">  view      = "internal-view"</w:t>
      </w:r>
      <w:r>
        <w:br/>
      </w:r>
      <w:r>
        <w:rPr>
          <w:rStyle w:val="VerbatimChar"/>
        </w:rPr>
        <w:t xml:space="preserve">  ttl       = 60</w:t>
      </w:r>
      <w:r>
        <w:br/>
      </w:r>
      <w:r>
        <w:rPr>
          <w:rStyle w:val="VerbatimChar"/>
        </w:rPr>
        <w:t xml:space="preserve">}</w:t>
      </w:r>
    </w:p>
    <w:p>
      <w:pPr>
        <w:pStyle w:val="FirstParagraph"/>
      </w:pPr>
      <w:r>
        <w:rPr>
          <w:b/>
          <w:bCs/>
        </w:rPr>
        <w:t xml:space="preserve">vDiscovery naming templates:</w:t>
      </w:r>
      <w:r>
        <w:t xml:space="preserve"> </w:t>
      </w:r>
      <w:r>
        <w:t xml:space="preserve">InfoBlox vDiscovery continuously scans all four cloud environments and auto-populates DNS records and IPAM entries. The naming template determines which zone receives the auto-populated record:</w:t>
      </w:r>
    </w:p>
    <w:p>
      <w:pPr>
        <w:pStyle w:val="TableCaption"/>
      </w:pPr>
      <w:r>
        <w:t xml:space="preserve">vDiscovery naming templates by cloud platform</w:t>
      </w:r>
    </w:p>
    <w:tbl>
      <w:tblPr>
        <w:tblStyle w:val="Table"/>
        <w:tblW w:type="pct" w:w="5000"/>
        <w:tblLayout w:type="fixed"/>
        <w:tblLook w:firstRow="1" w:lastRow="0" w:firstColumn="0" w:lastColumn="0" w:noHBand="0" w:noVBand="0" w:val="0020"/>
        <w:tblCaption w:val="vDiscovery naming templates by cloud platform"/>
      </w:tblPr>
      <w:tblGrid>
        <w:gridCol w:w="2640"/>
        <w:gridCol w:w="2640"/>
        <w:gridCol w:w="2640"/>
      </w:tblGrid>
      <w:tr>
        <w:trPr>
          <w:tblHeader w:val="on"/>
        </w:trPr>
        <w:tc>
          <w:tcPr/>
          <w:p>
            <w:pPr>
              <w:pStyle w:val="Compact"/>
            </w:pPr>
            <w:r>
              <w:t xml:space="preserve">Platform</w:t>
            </w:r>
          </w:p>
        </w:tc>
        <w:tc>
          <w:tcPr/>
          <w:p>
            <w:pPr>
              <w:pStyle w:val="Compact"/>
            </w:pPr>
            <w:r>
              <w:t xml:space="preserve">vDiscovery Template</w:t>
            </w:r>
          </w:p>
        </w:tc>
        <w:tc>
          <w:tcPr/>
          <w:p>
            <w:pPr>
              <w:pStyle w:val="Compact"/>
            </w:pPr>
            <w:r>
              <w:t xml:space="preserve">Zone</w:t>
            </w:r>
          </w:p>
        </w:tc>
      </w:tr>
      <w:tr>
        <w:tc>
          <w:tcPr/>
          <w:p>
            <w:pPr>
              <w:pStyle w:val="Compact"/>
            </w:pPr>
            <w:r>
              <w:t xml:space="preserve">VMware vSphere</w:t>
            </w:r>
          </w:p>
        </w:tc>
        <w:tc>
          <w:tcPr/>
          <w:p>
            <w:pPr>
              <w:pStyle w:val="Compact"/>
            </w:pPr>
            <w:r>
              <w:rPr>
                <w:rStyle w:val="VerbatimChar"/>
              </w:rPr>
              <w:t xml:space="preserve">{vm_name}.vmw.internal.ssa.gov</w:t>
            </w:r>
          </w:p>
        </w:tc>
        <w:tc>
          <w:tcPr/>
          <w:p>
            <w:pPr>
              <w:pStyle w:val="Compact"/>
            </w:pPr>
            <w:r>
              <w:rPr>
                <w:rStyle w:val="VerbatimChar"/>
              </w:rPr>
              <w:t xml:space="preserve">vmw.internal.ssa.gov</w:t>
            </w:r>
          </w:p>
        </w:tc>
      </w:tr>
      <w:tr>
        <w:tc>
          <w:tcPr/>
          <w:p>
            <w:pPr>
              <w:pStyle w:val="Compact"/>
            </w:pPr>
            <w:r>
              <w:t xml:space="preserve">Azure Government</w:t>
            </w:r>
          </w:p>
        </w:tc>
        <w:tc>
          <w:tcPr/>
          <w:p>
            <w:pPr>
              <w:pStyle w:val="Compact"/>
            </w:pPr>
            <w:r>
              <w:rPr>
                <w:rStyle w:val="VerbatimChar"/>
              </w:rPr>
              <w:t xml:space="preserve">{resource_name}.azure.internal.ssa.gov</w:t>
            </w:r>
          </w:p>
        </w:tc>
        <w:tc>
          <w:tcPr/>
          <w:p>
            <w:pPr>
              <w:pStyle w:val="Compact"/>
            </w:pPr>
            <w:r>
              <w:rPr>
                <w:rStyle w:val="VerbatimChar"/>
              </w:rPr>
              <w:t xml:space="preserve">azure.internal.ssa.gov</w:t>
            </w:r>
          </w:p>
        </w:tc>
      </w:tr>
      <w:tr>
        <w:tc>
          <w:tcPr/>
          <w:p>
            <w:pPr>
              <w:pStyle w:val="Compact"/>
            </w:pPr>
            <w:r>
              <w:t xml:space="preserve">AWS GovCloud</w:t>
            </w:r>
          </w:p>
        </w:tc>
        <w:tc>
          <w:tcPr/>
          <w:p>
            <w:pPr>
              <w:pStyle w:val="Compact"/>
            </w:pPr>
            <w:r>
              <w:rPr>
                <w:rStyle w:val="VerbatimChar"/>
              </w:rPr>
              <w:t xml:space="preserve">{instance_name}.aws.internal.ssa.gov</w:t>
            </w:r>
          </w:p>
        </w:tc>
        <w:tc>
          <w:tcPr/>
          <w:p>
            <w:pPr>
              <w:pStyle w:val="Compact"/>
            </w:pPr>
            <w:r>
              <w:rPr>
                <w:rStyle w:val="VerbatimChar"/>
              </w:rPr>
              <w:t xml:space="preserve">aws.internal.ssa.gov</w:t>
            </w:r>
          </w:p>
        </w:tc>
      </w:tr>
      <w:tr>
        <w:tc>
          <w:tcPr/>
          <w:p>
            <w:pPr>
              <w:pStyle w:val="Compact"/>
            </w:pPr>
            <w:r>
              <w:t xml:space="preserve">Oracle OCI</w:t>
            </w:r>
          </w:p>
        </w:tc>
        <w:tc>
          <w:tcPr/>
          <w:p>
            <w:pPr>
              <w:pStyle w:val="Compact"/>
            </w:pPr>
            <w:r>
              <w:rPr>
                <w:rStyle w:val="VerbatimChar"/>
              </w:rPr>
              <w:t xml:space="preserve">{instance_name}.oci.internal.ssa.gov</w:t>
            </w:r>
          </w:p>
        </w:tc>
        <w:tc>
          <w:tcPr/>
          <w:p>
            <w:pPr>
              <w:pStyle w:val="Compact"/>
            </w:pPr>
            <w:r>
              <w:rPr>
                <w:rStyle w:val="VerbatimChar"/>
              </w:rPr>
              <w:t xml:space="preserve">oci.internal.ssa.gov</w:t>
            </w:r>
          </w:p>
        </w:tc>
      </w:tr>
    </w:tbl>
    <w:p>
      <w:pPr>
        <w:pStyle w:val="BodyText"/>
      </w:pPr>
      <w:r>
        <w:t xml:space="preserve">When a new VM provisions in any environment, InfoBlox creates the DNS record in the correct zone, allocates the IPAM entry in the correct Network View, and triggers SCEP enrollment in the correct CA — all from the zone the record belongs to. The namespace is the configuration.</w:t>
      </w:r>
    </w:p>
    <w:p>
      <w:pPr>
        <w:pStyle w:val="BodyText"/>
      </w:pPr>
      <w:r>
        <w:rPr>
          <w:b/>
          <w:bCs/>
        </w:rPr>
        <w:t xml:space="preserve">Kubernetes</w:t>
      </w:r>
      <w:r>
        <w:rPr>
          <w:b/>
          <w:bCs/>
        </w:rPr>
        <w:t xml:space="preserve"> </w:t>
      </w:r>
      <w:r>
        <w:rPr>
          <w:rStyle w:val="VerbatimChar"/>
          <w:b/>
          <w:bCs/>
        </w:rPr>
        <w:t xml:space="preserve">external-dns</w:t>
      </w:r>
      <w:r>
        <w:rPr>
          <w:b/>
          <w:bCs/>
        </w:rPr>
        <w:t xml:space="preserve">:</w:t>
      </w:r>
      <w:r>
        <w:t xml:space="preserve"> </w:t>
      </w:r>
      <w:r>
        <w:t xml:space="preserve">For Kubernetes workloads on any platform, the</w:t>
      </w:r>
      <w:r>
        <w:t xml:space="preserve"> </w:t>
      </w:r>
      <w:r>
        <w:rPr>
          <w:rStyle w:val="VerbatimChar"/>
        </w:rPr>
        <w:t xml:space="preserve">external-dns</w:t>
      </w:r>
      <w:r>
        <w:t xml:space="preserve"> </w:t>
      </w:r>
      <w:r>
        <w:t xml:space="preserve">controller creates and removes InfoBlox DNS records as services come and go. A Service annotated with</w:t>
      </w:r>
      <w:r>
        <w:t xml:space="preserve"> </w:t>
      </w:r>
      <w:r>
        <w:rPr>
          <w:rStyle w:val="VerbatimChar"/>
        </w:rPr>
        <w:t xml:space="preserve">external-dns.alpha.kubernetes.io/hostname: payments.api.ssa.gov</w:t>
      </w:r>
      <w:r>
        <w:t xml:space="preserve"> </w:t>
      </w:r>
      <w:r>
        <w:t xml:space="preserve">results in an A record in</w:t>
      </w:r>
      <w:r>
        <w:t xml:space="preserve"> </w:t>
      </w:r>
      <w:r>
        <w:rPr>
          <w:rStyle w:val="VerbatimChar"/>
        </w:rPr>
        <w:t xml:space="preserve">prod.api.ssa.gov</w:t>
      </w:r>
      <w:r>
        <w:t xml:space="preserve"> </w:t>
      </w:r>
      <w:r>
        <w:t xml:space="preserve">pointing to the load balancer IP — created on Service creation, removed on Service deletion, with no manual DNS management required.</w:t>
      </w:r>
    </w:p>
    <w:bookmarkEnd w:id="90"/>
    <w:bookmarkStart w:id="91" w:name="sec-subdomain-rpz"/>
    <w:p>
      <w:pPr>
        <w:pStyle w:val="Heading3"/>
      </w:pPr>
      <w:r>
        <w:t xml:space="preserve">5.6 RPZ Policy Scoping by Subdomain</w:t>
      </w:r>
    </w:p>
    <w:p>
      <w:pPr>
        <w:pStyle w:val="FirstParagraph"/>
      </w:pPr>
      <w:r>
        <w:t xml:space="preserve">DNS Firewall RPZ policies in InfoBlox attach at the zone level. The subdomain structure determines the security policy granularity:</w:t>
      </w:r>
    </w:p>
    <w:p>
      <w:pPr>
        <w:pStyle w:val="TableCaption"/>
      </w:pPr>
      <w:r>
        <w:t xml:space="preserve">RPZ policy attachment by subdomain zone</w:t>
      </w:r>
    </w:p>
    <w:tbl>
      <w:tblPr>
        <w:tblStyle w:val="Table"/>
        <w:tblW w:type="pct" w:w="5000"/>
        <w:tblLayout w:type="fixed"/>
        <w:tblLook w:firstRow="1" w:lastRow="0" w:firstColumn="0" w:lastColumn="0" w:noHBand="0" w:noVBand="0" w:val="0020"/>
        <w:tblCaption w:val="RPZ policy attachment by subdomain zone"/>
      </w:tblPr>
      <w:tblGrid>
        <w:gridCol w:w="3960"/>
        <w:gridCol w:w="3960"/>
      </w:tblGrid>
      <w:tr>
        <w:trPr>
          <w:tblHeader w:val="on"/>
        </w:trPr>
        <w:tc>
          <w:tcPr/>
          <w:p>
            <w:pPr>
              <w:pStyle w:val="Compact"/>
            </w:pPr>
            <w:r>
              <w:t xml:space="preserve">Zone</w:t>
            </w:r>
          </w:p>
        </w:tc>
        <w:tc>
          <w:tcPr/>
          <w:p>
            <w:pPr>
              <w:pStyle w:val="Compact"/>
            </w:pPr>
            <w:r>
              <w:t xml:space="preserve">RPZ Policy</w:t>
            </w:r>
          </w:p>
        </w:tc>
      </w:tr>
      <w:tr>
        <w:tc>
          <w:tcPr/>
          <w:p>
            <w:pPr>
              <w:pStyle w:val="Compact"/>
            </w:pPr>
            <w:r>
              <w:rPr>
                <w:rStyle w:val="VerbatimChar"/>
              </w:rPr>
              <w:t xml:space="preserve">ssa.gov</w:t>
            </w:r>
            <w:r>
              <w:t xml:space="preserve"> </w:t>
            </w:r>
            <w:r>
              <w:t xml:space="preserve">external view</w:t>
            </w:r>
          </w:p>
        </w:tc>
        <w:tc>
          <w:tcPr/>
          <w:p>
            <w:pPr>
              <w:pStyle w:val="Compact"/>
            </w:pPr>
            <w:r>
              <w:t xml:space="preserve">CISA threat intelligence feed + M365 GCC allow-list</w:t>
            </w:r>
          </w:p>
        </w:tc>
      </w:tr>
      <w:tr>
        <w:tc>
          <w:tcPr/>
          <w:p>
            <w:pPr>
              <w:pStyle w:val="Compact"/>
            </w:pPr>
            <w:r>
              <w:rPr>
                <w:rStyle w:val="VerbatimChar"/>
              </w:rPr>
              <w:t xml:space="preserve">vc.ssa.gov</w:t>
            </w:r>
          </w:p>
        </w:tc>
        <w:tc>
          <w:tcPr/>
          <w:p>
            <w:pPr>
              <w:pStyle w:val="Compact"/>
            </w:pPr>
            <w:r>
              <w:t xml:space="preserve">SIP/H.323 federation allow-list; block unapproved conferencing endpoints</w:t>
            </w:r>
          </w:p>
        </w:tc>
      </w:tr>
      <w:tr>
        <w:tc>
          <w:tcPr/>
          <w:p>
            <w:pPr>
              <w:pStyle w:val="Compact"/>
            </w:pPr>
            <w:r>
              <w:rPr>
                <w:rStyle w:val="VerbatimChar"/>
              </w:rPr>
              <w:t xml:space="preserve">internal.ssa.gov</w:t>
            </w:r>
          </w:p>
        </w:tc>
        <w:tc>
          <w:tcPr/>
          <w:p>
            <w:pPr>
              <w:pStyle w:val="Compact"/>
            </w:pPr>
            <w:r>
              <w:t xml:space="preserve">Internal-only flag — NXDOMAIN for any external resolution attempt</w:t>
            </w:r>
          </w:p>
        </w:tc>
      </w:tr>
      <w:tr>
        <w:tc>
          <w:tcPr/>
          <w:p>
            <w:pPr>
              <w:pStyle w:val="Compact"/>
            </w:pPr>
            <w:r>
              <w:rPr>
                <w:rStyle w:val="VerbatimChar"/>
              </w:rPr>
              <w:t xml:space="preserve">mgmt.ssa.gov</w:t>
            </w:r>
          </w:p>
        </w:tc>
        <w:tc>
          <w:tcPr/>
          <w:p>
            <w:pPr>
              <w:pStyle w:val="Compact"/>
            </w:pPr>
            <w:r>
              <w:t xml:space="preserve">Strict: allow-list of management-plane destinations only; block all others</w:t>
            </w:r>
          </w:p>
        </w:tc>
      </w:tr>
    </w:tbl>
    <w:p>
      <w:pPr>
        <w:pStyle w:val="BodyText"/>
      </w:pPr>
      <w:r>
        <w:t xml:space="preserve">A query resolving through</w:t>
      </w:r>
      <w:r>
        <w:t xml:space="preserve"> </w:t>
      </w:r>
      <w:r>
        <w:rPr>
          <w:rStyle w:val="VerbatimChar"/>
        </w:rPr>
        <w:t xml:space="preserve">mgmt.ssa.gov</w:t>
      </w:r>
      <w:r>
        <w:t xml:space="preserve"> </w:t>
      </w:r>
      <w:r>
        <w:t xml:space="preserve">that does not match the management-plane allow-list returns an RPZ NXDOMAIN before any TCP connection is attempted. The subdomain boundary is the security boundary — without it, RPZ policy must be applied at the individual record level, which is operationally unmanageable at scale.</w:t>
      </w:r>
    </w:p>
    <w:bookmarkEnd w:id="91"/>
    <w:bookmarkStart w:id="92" w:name="sec-subdomain-nist"/>
    <w:p>
      <w:pPr>
        <w:pStyle w:val="Heading3"/>
      </w:pPr>
      <w:r>
        <w:t xml:space="preserve">5.7 Additional NIST Controls from Namespace Design</w:t>
      </w:r>
    </w:p>
    <w:p>
      <w:pPr>
        <w:pStyle w:val="FirstParagraph"/>
      </w:pPr>
      <w:r>
        <w:t xml:space="preserve">The subdomain strategy adds three controls to the NIST mapping in</w:t>
      </w:r>
      <w:r>
        <w:t xml:space="preserve"> </w:t>
      </w:r>
      <w:hyperlink w:anchor="sec-nist">
        <w:r>
          <w:rPr>
            <w:rStyle w:val="Hyperlink"/>
          </w:rPr>
          <w:t xml:space="preserve">Section 7</w:t>
        </w:r>
      </w:hyperlink>
      <w:r>
        <w:t xml:space="preserve">:</w:t>
      </w:r>
    </w:p>
    <w:p>
      <w:pPr>
        <w:pStyle w:val="TableCaption"/>
      </w:pPr>
      <w:r>
        <w:t xml:space="preserve">Additional controls from subdomain namespace design</w:t>
      </w:r>
    </w:p>
    <w:tbl>
      <w:tblPr>
        <w:tblStyle w:val="Table"/>
        <w:tblW w:type="pct" w:w="5000"/>
        <w:tblLayout w:type="fixed"/>
        <w:tblLook w:firstRow="1" w:lastRow="0" w:firstColumn="0" w:lastColumn="0" w:noHBand="0" w:noVBand="0" w:val="0020"/>
        <w:tblCaption w:val="Additional controls from subdomain namespace design"/>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Contribution</w:t>
            </w:r>
          </w:p>
        </w:tc>
      </w:tr>
      <w:tr>
        <w:tc>
          <w:tcPr/>
          <w:p>
            <w:pPr>
              <w:pStyle w:val="Compact"/>
            </w:pPr>
            <w:r>
              <w:t xml:space="preserve">SC-22</w:t>
            </w:r>
          </w:p>
        </w:tc>
        <w:tc>
          <w:tcPr/>
          <w:p>
            <w:pPr>
              <w:pStyle w:val="Compact"/>
            </w:pPr>
            <w:r>
              <w:t xml:space="preserve">Architecture and Provisioning for Name/Address Resolution</w:t>
            </w:r>
          </w:p>
        </w:tc>
        <w:tc>
          <w:tcPr/>
          <w:p>
            <w:pPr>
              <w:pStyle w:val="Compact"/>
            </w:pPr>
            <w:r>
              <w:t xml:space="preserve">Zone hierarchy with delegated authority and view separation enforcing internal/external boundary</w:t>
            </w:r>
          </w:p>
        </w:tc>
      </w:tr>
      <w:tr>
        <w:tc>
          <w:tcPr/>
          <w:p>
            <w:pPr>
              <w:pStyle w:val="Compact"/>
            </w:pPr>
            <w:r>
              <w:t xml:space="preserve">AC-4</w:t>
            </w:r>
          </w:p>
        </w:tc>
        <w:tc>
          <w:tcPr/>
          <w:p>
            <w:pPr>
              <w:pStyle w:val="Compact"/>
            </w:pPr>
            <w:r>
              <w:t xml:space="preserve">Information Flow Enforcement</w:t>
            </w:r>
          </w:p>
        </w:tc>
        <w:tc>
          <w:tcPr/>
          <w:p>
            <w:pPr>
              <w:pStyle w:val="Compact"/>
            </w:pPr>
            <w:r>
              <w:t xml:space="preserve">Internal views prevent DNS resolution from cloud environments to unapproved external destinations; RPZ at zone level enforces M365 GCC allow-list</w:t>
            </w:r>
          </w:p>
        </w:tc>
      </w:tr>
      <w:tr>
        <w:tc>
          <w:tcPr/>
          <w:p>
            <w:pPr>
              <w:pStyle w:val="Compact"/>
            </w:pPr>
            <w:r>
              <w:t xml:space="preserve">SA-9</w:t>
            </w:r>
          </w:p>
        </w:tc>
        <w:tc>
          <w:tcPr/>
          <w:p>
            <w:pPr>
              <w:pStyle w:val="Compact"/>
            </w:pPr>
            <w:r>
              <w:t xml:space="preserve">External System Services</w:t>
            </w:r>
          </w:p>
        </w:tc>
        <w:tc>
          <w:tcPr/>
          <w:p>
            <w:pPr>
              <w:pStyle w:val="Compact"/>
            </w:pPr>
            <w:r>
              <w:t xml:space="preserve">Conditional forwarders to Azure Private DNS Resolver and AWS Route 53 Resolver are documented zone-level dependencies with per-forwarder audit trail</w:t>
            </w:r>
          </w:p>
        </w:tc>
      </w:tr>
    </w:tbl>
    <w:p>
      <w:r>
        <w:pict>
          <v:rect style="width:0;height:1.5pt" o:hralign="center" o:hrstd="t" o:hr="t"/>
        </w:pict>
      </w:r>
    </w:p>
    <w:bookmarkEnd w:id="92"/>
    <w:bookmarkEnd w:id="93"/>
    <w:bookmarkStart w:id="95" w:name="sec-dns-steering"/>
    <w:p>
      <w:pPr>
        <w:pStyle w:val="Heading2"/>
      </w:pPr>
      <w:r>
        <w:t xml:space="preserve">6 DNS-Based Traffic Steering as a DDI Function</w:t>
      </w:r>
    </w:p>
    <w:p>
      <w:pPr>
        <w:pStyle w:val="FirstParagraph"/>
      </w:pPr>
      <w:r>
        <w:t xml:space="preserve">Global server load balancing has always been a DNS function wearing an appliance badge. When a hardware GSLB appliance decides which data center or cloud region answers a user’s request, the mechanism it uses is a DNS response: the appliance acts as an authoritative name server that answers the same query differently depending on endpoint health, requestor topology, and policy weight. Strip away the chassis, and what remains is health-checked, policy-driven authoritative DNS — a control-plane function of the naming and addressing layer, not a data-plane function of any appliance tier.</w:t>
      </w:r>
    </w:p>
    <w:p>
      <w:pPr>
        <w:pStyle w:val="BodyText"/>
      </w:pPr>
      <w:r>
        <w:t xml:space="preserve">Modern DDI platforms implement this function natively. InfoBlox DNS Traffic Control (DTC) attaches health monitors (ICMP, TCP, HTTP/S) to pools of service endpoints and computes each A/AAAA response at query time from pool member health, topology rules, and weighted ratios — a degraded endpoint simply stops appearing in answers, within one TTL, with no traffic ever passing through the Grid Member. The cloud providers expose the same function as DNS routing policy: Route 53 weighted, latency-based, geolocation, and failover routing policies; Azure Traffic Manager profiles; OCI Traffic Management steering policies. In every case the steering decision executes in the resolution path, and the</w:t>
      </w:r>
      <w:r>
        <w:t xml:space="preserve"> </w:t>
      </w:r>
      <w:r>
        <w:t xml:space="preserve">“load balancer”</w:t>
      </w:r>
      <w:r>
        <w:t xml:space="preserve"> </w:t>
      </w:r>
      <w:r>
        <w:t xml:space="preserve">is the answer itself.</w:t>
      </w:r>
    </w:p>
    <w:p>
      <w:pPr>
        <w:pStyle w:val="BodyText"/>
      </w:pPr>
      <w:r>
        <w:t xml:space="preserve">This matters to the landing zone because the hardware application-delivery tier is dissolving, and its two halves land in two different places. The</w:t>
      </w:r>
      <w:r>
        <w:t xml:space="preserve"> </w:t>
      </w:r>
      <w:r>
        <w:rPr>
          <w:i/>
          <w:iCs/>
        </w:rPr>
        <w:t xml:space="preserve">local</w:t>
      </w:r>
      <w:r>
        <w:t xml:space="preserve"> </w:t>
      </w:r>
      <w:r>
        <w:t xml:space="preserve">half — reverse proxy, TLS offload, per-request distribution — dissolves into cloud-native delivery services provisioned in the landing zone (Azure Application Gateway and Front Door, AWS ALB/NLB, OCI Load Balancer), deployed per workload through the same IaC pipeline as everything else in this document. The</w:t>
      </w:r>
      <w:r>
        <w:t xml:space="preserve"> </w:t>
      </w:r>
      <w:r>
        <w:rPr>
          <w:i/>
          <w:iCs/>
        </w:rPr>
        <w:t xml:space="preserve">global</w:t>
      </w:r>
      <w:r>
        <w:t xml:space="preserve"> </w:t>
      </w:r>
      <w:r>
        <w:t xml:space="preserve">half — steering users between sites, regions, and clouds — dissolves into the DNS control plane this book builds. Neither half survives as an appliance tier to migrate; the forty-year history of how that tier accumulated, and why SD-WAN retires the WAN edge rather than replacing the load balancer, is told in</w:t>
      </w:r>
      <w:r>
        <w:t xml:space="preserve"> </w:t>
      </w:r>
      <w:hyperlink r:id="rId94">
        <w:r>
          <w:rPr>
            <w:rStyle w:val="Hyperlink"/>
          </w:rPr>
          <w:t xml:space="preserve">Book 05</w:t>
        </w:r>
      </w:hyperlink>
      <w:r>
        <w:t xml:space="preserve">.</w:t>
      </w:r>
    </w:p>
    <w:p>
      <w:pPr>
        <w:pStyle w:val="BodyText"/>
      </w:pPr>
      <w:r>
        <w:t xml:space="preserve">Because global steering is DNS, every property this document establishes for the DDI plane applies to it automatically. Steering responses are served from zones the Grid signs, so DNSSEC covers the steering answer (SC-20). Steering configuration is managed as code through the same Terraform provider that manages zones and records (CM-2). Every steering decision is a logged DNS response in the unified syslog stream — a regional failover event is not an invisible appliance state change but an auditable sequence of answer changes with timestamps (AU-12, CA-7). And split-horizon views scope steering policy exactly as they scope every other record: internal requestors can be steered to private endpoints while external requestors are steered across public ones, from the same LBDN object.</w:t>
      </w:r>
    </w:p>
    <w:p>
      <w:pPr>
        <w:pStyle w:val="BodyText"/>
      </w:pPr>
      <w:r>
        <w:t xml:space="preserve">The practical consequence for the buildout roadmap: when application teams ask where global traffic steering lives in the target architecture, the answer is not</w:t>
      </w:r>
      <w:r>
        <w:t xml:space="preserve"> </w:t>
      </w:r>
      <w:r>
        <w:t xml:space="preserve">“procure a GSLB replacement.”</w:t>
      </w:r>
      <w:r>
        <w:t xml:space="preserve"> </w:t>
      </w:r>
      <w:r>
        <w:t xml:space="preserve">The answer is that the capability is already present in the DDI layer deployed in Phases 1–4 — it is a policy configuration on the naming plane, inheriting the DNSSEC, IaC, and audit posture the landing zone already established.</w:t>
      </w:r>
    </w:p>
    <w:p>
      <w:r>
        <w:pict>
          <v:rect style="width:0;height:1.5pt" o:hralign="center" o:hrstd="t" o:hr="t"/>
        </w:pict>
      </w:r>
    </w:p>
    <w:bookmarkEnd w:id="95"/>
    <w:bookmarkStart w:id="98" w:name="sec-nist"/>
    <w:p>
      <w:pPr>
        <w:pStyle w:val="Heading2"/>
      </w:pPr>
      <w:r>
        <w:t xml:space="preserve">7 NIST SP 800-53 Rev 5 Control Mapping</w:t>
      </w:r>
    </w:p>
    <w:p>
      <w:pPr>
        <w:pStyle w:val="FirstParagraph"/>
      </w:pPr>
      <w:r>
        <w:t xml:space="preserve">The following table maps InfoBlox DDI landing zone capabilities to specific NIST SP 800-53 Rev 5 controls. A single InfoBlox deployment provides evidence for 16 controls that would otherwise require separate evidence collection from four separate platforms.</w:t>
      </w:r>
    </w:p>
    <w:p>
      <w:pPr>
        <w:pStyle w:val="TableCaption"/>
      </w:pPr>
      <w:r>
        <w:t xml:space="preserve">NIST SP 800-53 Rev 5 Control Coverage</w:t>
      </w:r>
    </w:p>
    <w:tbl>
      <w:tblPr>
        <w:tblStyle w:val="Table"/>
        <w:tblW w:type="pct" w:w="5000"/>
        <w:tblLayout w:type="fixed"/>
        <w:tblLook w:firstRow="1" w:lastRow="0" w:firstColumn="0" w:lastColumn="0" w:noHBand="0" w:noVBand="0" w:val="0020"/>
        <w:tblCaption w:val="NIST SP 800-53 Rev 5 Control Coverage"/>
      </w:tblPr>
      <w:tblGrid>
        <w:gridCol w:w="1980"/>
        <w:gridCol w:w="1980"/>
        <w:gridCol w:w="1980"/>
        <w:gridCol w:w="1980"/>
      </w:tblGrid>
      <w:tr>
        <w:trPr>
          <w:tblHeader w:val="on"/>
        </w:trPr>
        <w:tc>
          <w:tcPr/>
          <w:p>
            <w:pPr>
              <w:pStyle w:val="Compact"/>
            </w:pPr>
            <w:r>
              <w:t xml:space="preserve">Control</w:t>
            </w:r>
          </w:p>
        </w:tc>
        <w:tc>
          <w:tcPr/>
          <w:p>
            <w:pPr>
              <w:pStyle w:val="Compact"/>
            </w:pPr>
            <w:r>
              <w:t xml:space="preserve">What InfoBlox DDI Provides</w:t>
            </w:r>
          </w:p>
        </w:tc>
        <w:tc>
          <w:tcPr/>
          <w:p>
            <w:pPr>
              <w:pStyle w:val="Compact"/>
            </w:pPr>
            <w:r>
              <w:t xml:space="preserve">Evidence Artifact</w:t>
            </w:r>
          </w:p>
        </w:tc>
        <w:tc>
          <w:tcPr/>
          <w:p>
            <w:pPr>
              <w:pStyle w:val="Compact"/>
            </w:pPr>
            <w:r>
              <w:t xml:space="preserve">Satisfies</w:t>
            </w:r>
          </w:p>
        </w:tc>
      </w:tr>
      <w:tr>
        <w:tc>
          <w:tcPr/>
          <w:p>
            <w:pPr>
              <w:pStyle w:val="Compact"/>
            </w:pPr>
            <w:r>
              <w:rPr>
                <w:b/>
                <w:bCs/>
              </w:rPr>
              <w:t xml:space="preserve">SC-20</w:t>
            </w:r>
          </w:p>
        </w:tc>
        <w:tc>
          <w:tcPr/>
          <w:p>
            <w:pPr>
              <w:pStyle w:val="Compact"/>
            </w:pPr>
            <w:r>
              <w:t xml:space="preserve">DNSSEC signing of all DNS zones including internal SDN segments</w:t>
            </w:r>
          </w:p>
        </w:tc>
        <w:tc>
          <w:tcPr/>
          <w:p>
            <w:pPr>
              <w:pStyle w:val="Compact"/>
            </w:pPr>
            <w:r>
              <w:t xml:space="preserve">DNSSEC key log; DS record at .gov registrar</w:t>
            </w:r>
          </w:p>
        </w:tc>
        <w:tc>
          <w:tcPr/>
          <w:p>
            <w:pPr>
              <w:pStyle w:val="Compact"/>
            </w:pPr>
            <w:r>
              <w:t xml:space="preserve">SC-20, SC-20(1)</w:t>
            </w:r>
          </w:p>
        </w:tc>
      </w:tr>
      <w:tr>
        <w:tc>
          <w:tcPr/>
          <w:p>
            <w:pPr>
              <w:pStyle w:val="Compact"/>
            </w:pPr>
            <w:r>
              <w:rPr>
                <w:b/>
                <w:bCs/>
              </w:rPr>
              <w:t xml:space="preserve">SC-21</w:t>
            </w:r>
          </w:p>
        </w:tc>
        <w:tc>
          <w:tcPr/>
          <w:p>
            <w:pPr>
              <w:pStyle w:val="Compact"/>
            </w:pPr>
            <w:r>
              <w:t xml:space="preserve">Recursive DNSSEC validation on all Grid Members; RPZ with CISA Protective DNS feed</w:t>
            </w:r>
          </w:p>
        </w:tc>
        <w:tc>
          <w:tcPr/>
          <w:p>
            <w:pPr>
              <w:pStyle w:val="Compact"/>
            </w:pPr>
            <w:r>
              <w:t xml:space="preserve">RPZ hit log → SIEM; validation failure alert</w:t>
            </w:r>
          </w:p>
        </w:tc>
        <w:tc>
          <w:tcPr/>
          <w:p>
            <w:pPr>
              <w:pStyle w:val="Compact"/>
            </w:pPr>
            <w:r>
              <w:t xml:space="preserve">SC-21</w:t>
            </w:r>
          </w:p>
        </w:tc>
      </w:tr>
      <w:tr>
        <w:tc>
          <w:tcPr/>
          <w:p>
            <w:pPr>
              <w:pStyle w:val="Compact"/>
            </w:pPr>
            <w:r>
              <w:rPr>
                <w:b/>
                <w:bCs/>
              </w:rPr>
              <w:t xml:space="preserve">SC-22</w:t>
            </w:r>
          </w:p>
        </w:tc>
        <w:tc>
          <w:tcPr/>
          <w:p>
            <w:pPr>
              <w:pStyle w:val="Compact"/>
            </w:pPr>
            <w:r>
              <w:t xml:space="preserve">Network Insight auto-generates DDI topology; Grid Master-to-Member map</w:t>
            </w:r>
          </w:p>
        </w:tc>
        <w:tc>
          <w:tcPr/>
          <w:p>
            <w:pPr>
              <w:pStyle w:val="Compact"/>
            </w:pPr>
            <w:r>
              <w:t xml:space="preserve">Network Insight export; SSP Appendix J</w:t>
            </w:r>
          </w:p>
        </w:tc>
        <w:tc>
          <w:tcPr/>
          <w:p>
            <w:pPr>
              <w:pStyle w:val="Compact"/>
            </w:pPr>
            <w:r>
              <w:t xml:space="preserve">SC-22</w:t>
            </w:r>
          </w:p>
        </w:tc>
      </w:tr>
      <w:tr>
        <w:tc>
          <w:tcPr/>
          <w:p>
            <w:pPr>
              <w:pStyle w:val="Compact"/>
            </w:pPr>
            <w:r>
              <w:rPr>
                <w:b/>
                <w:bCs/>
              </w:rPr>
              <w:t xml:space="preserve">SC-7</w:t>
            </w:r>
          </w:p>
        </w:tc>
        <w:tc>
          <w:tcPr/>
          <w:p>
            <w:pPr>
              <w:pStyle w:val="Compact"/>
            </w:pPr>
            <w:r>
              <w:t xml:space="preserve">RPZ enforces domain-level egress blocking across all four SDN environments; DNS exfiltration detection</w:t>
            </w:r>
          </w:p>
        </w:tc>
        <w:tc>
          <w:tcPr/>
          <w:p>
            <w:pPr>
              <w:pStyle w:val="Compact"/>
            </w:pPr>
            <w:r>
              <w:t xml:space="preserve">RPZ block rate dashboard; exfil alert config</w:t>
            </w:r>
          </w:p>
        </w:tc>
        <w:tc>
          <w:tcPr/>
          <w:p>
            <w:pPr>
              <w:pStyle w:val="Compact"/>
            </w:pPr>
            <w:r>
              <w:t xml:space="preserve">SC-7, SC-7(7)</w:t>
            </w:r>
          </w:p>
        </w:tc>
      </w:tr>
      <w:tr>
        <w:tc>
          <w:tcPr/>
          <w:p>
            <w:pPr>
              <w:pStyle w:val="Compact"/>
            </w:pPr>
            <w:r>
              <w:rPr>
                <w:b/>
                <w:bCs/>
              </w:rPr>
              <w:t xml:space="preserve">SC-8</w:t>
            </w:r>
          </w:p>
        </w:tc>
        <w:tc>
          <w:tcPr/>
          <w:p>
            <w:pPr>
              <w:pStyle w:val="Compact"/>
            </w:pPr>
            <w:r>
              <w:t xml:space="preserve">mTLS between workloads via certificate-to-IP binding; SCEP/EST enrollment before service traffic</w:t>
            </w:r>
          </w:p>
        </w:tc>
        <w:tc>
          <w:tcPr/>
          <w:p>
            <w:pPr>
              <w:pStyle w:val="Compact"/>
            </w:pPr>
            <w:r>
              <w:t xml:space="preserve">Certificate Tracker report; mTLS config</w:t>
            </w:r>
          </w:p>
        </w:tc>
        <w:tc>
          <w:tcPr/>
          <w:p>
            <w:pPr>
              <w:pStyle w:val="Compact"/>
            </w:pPr>
            <w:r>
              <w:t xml:space="preserve">SC-8, SC-8(1)</w:t>
            </w:r>
          </w:p>
        </w:tc>
      </w:tr>
      <w:tr>
        <w:tc>
          <w:tcPr/>
          <w:p>
            <w:pPr>
              <w:pStyle w:val="Compact"/>
            </w:pPr>
            <w:r>
              <w:rPr>
                <w:b/>
                <w:bCs/>
              </w:rPr>
              <w:t xml:space="preserve">CM-8</w:t>
            </w:r>
          </w:p>
        </w:tc>
        <w:tc>
          <w:tcPr/>
          <w:p>
            <w:pPr>
              <w:pStyle w:val="Compact"/>
            </w:pPr>
            <w:r>
              <w:t xml:space="preserve">Every IP host record = CM-8 inventory item; SDN connector enriches with VM name, OS, owner, cloud region</w:t>
            </w:r>
          </w:p>
        </w:tc>
        <w:tc>
          <w:tcPr/>
          <w:p>
            <w:pPr>
              <w:pStyle w:val="Compact"/>
            </w:pPr>
            <w:r>
              <w:t xml:space="preserve">IP host record export to ServiceNow CMDB</w:t>
            </w:r>
          </w:p>
        </w:tc>
        <w:tc>
          <w:tcPr/>
          <w:p>
            <w:pPr>
              <w:pStyle w:val="Compact"/>
            </w:pPr>
            <w:r>
              <w:t xml:space="preserve">CM-8, CM-8(1)</w:t>
            </w:r>
          </w:p>
        </w:tc>
      </w:tr>
      <w:tr>
        <w:tc>
          <w:tcPr/>
          <w:p>
            <w:pPr>
              <w:pStyle w:val="Compact"/>
            </w:pPr>
            <w:r>
              <w:rPr>
                <w:b/>
                <w:bCs/>
              </w:rPr>
              <w:t xml:space="preserve">CM-2</w:t>
            </w:r>
          </w:p>
        </w:tc>
        <w:tc>
          <w:tcPr/>
          <w:p>
            <w:pPr>
              <w:pStyle w:val="Compact"/>
            </w:pPr>
            <w:r>
              <w:t xml:space="preserve">IaC integration creates IP+DNS+cert records atomically and destroys them on decommission</w:t>
            </w:r>
          </w:p>
        </w:tc>
        <w:tc>
          <w:tcPr/>
          <w:p>
            <w:pPr>
              <w:pStyle w:val="Compact"/>
            </w:pPr>
            <w:r>
              <w:t xml:space="preserve">Terraform state; IP lifecycle audit log</w:t>
            </w:r>
          </w:p>
        </w:tc>
        <w:tc>
          <w:tcPr/>
          <w:p>
            <w:pPr>
              <w:pStyle w:val="Compact"/>
            </w:pPr>
            <w:r>
              <w:t xml:space="preserve">CM-2, CM-6</w:t>
            </w:r>
          </w:p>
        </w:tc>
      </w:tr>
      <w:tr>
        <w:tc>
          <w:tcPr/>
          <w:p>
            <w:pPr>
              <w:pStyle w:val="Compact"/>
            </w:pPr>
            <w:r>
              <w:rPr>
                <w:b/>
                <w:bCs/>
              </w:rPr>
              <w:t xml:space="preserve">SA-9</w:t>
            </w:r>
          </w:p>
        </w:tc>
        <w:tc>
          <w:tcPr/>
          <w:p>
            <w:pPr>
              <w:pStyle w:val="Compact"/>
            </w:pPr>
            <w:r>
              <w:t xml:space="preserve">External DNS registered as governed external services; all forwarded queries logged; OPM HRIT documented</w:t>
            </w:r>
          </w:p>
        </w:tc>
        <w:tc>
          <w:tcPr/>
          <w:p>
            <w:pPr>
              <w:pStyle w:val="Compact"/>
            </w:pPr>
            <w:r>
              <w:t xml:space="preserve">Forwarder config export; SSP SA-9 table</w:t>
            </w:r>
          </w:p>
        </w:tc>
        <w:tc>
          <w:tcPr/>
          <w:p>
            <w:pPr>
              <w:pStyle w:val="Compact"/>
            </w:pPr>
            <w:r>
              <w:t xml:space="preserve">SA-9</w:t>
            </w:r>
          </w:p>
        </w:tc>
      </w:tr>
      <w:tr>
        <w:tc>
          <w:tcPr/>
          <w:p>
            <w:pPr>
              <w:pStyle w:val="Compact"/>
            </w:pPr>
            <w:r>
              <w:rPr>
                <w:b/>
                <w:bCs/>
              </w:rPr>
              <w:t xml:space="preserve">IA-5(2)</w:t>
            </w:r>
          </w:p>
        </w:tc>
        <w:tc>
          <w:tcPr/>
          <w:p>
            <w:pPr>
              <w:pStyle w:val="Compact"/>
            </w:pPr>
            <w:r>
              <w:t xml:space="preserve">Certificate Tracker links cert thumbprint+expiry+issuer to IP host record; ADCS/Key Vault/ACM/OCI cert metadata</w:t>
            </w:r>
          </w:p>
        </w:tc>
        <w:tc>
          <w:tcPr/>
          <w:p>
            <w:pPr>
              <w:pStyle w:val="Compact"/>
            </w:pPr>
            <w:r>
              <w:t xml:space="preserve">Cert inventory report; expiry alert log</w:t>
            </w:r>
          </w:p>
        </w:tc>
        <w:tc>
          <w:tcPr/>
          <w:p>
            <w:pPr>
              <w:pStyle w:val="Compact"/>
            </w:pPr>
            <w:r>
              <w:t xml:space="preserve">IA-5(2)</w:t>
            </w:r>
          </w:p>
        </w:tc>
      </w:tr>
      <w:tr>
        <w:tc>
          <w:tcPr/>
          <w:p>
            <w:pPr>
              <w:pStyle w:val="Compact"/>
            </w:pPr>
            <w:r>
              <w:rPr>
                <w:b/>
                <w:bCs/>
              </w:rPr>
              <w:t xml:space="preserve">IA-9</w:t>
            </w:r>
          </w:p>
        </w:tc>
        <w:tc>
          <w:tcPr/>
          <w:p>
            <w:pPr>
              <w:pStyle w:val="Compact"/>
            </w:pPr>
            <w:r>
              <w:t xml:space="preserve">Every SDN workload receives a certificate via SCEP/EST automation at provisioning time</w:t>
            </w:r>
          </w:p>
        </w:tc>
        <w:tc>
          <w:tcPr/>
          <w:p>
            <w:pPr>
              <w:pStyle w:val="Compact"/>
            </w:pPr>
            <w:r>
              <w:t xml:space="preserve">SCEP enrollment log; cert-to-IP binding report</w:t>
            </w:r>
          </w:p>
        </w:tc>
        <w:tc>
          <w:tcPr/>
          <w:p>
            <w:pPr>
              <w:pStyle w:val="Compact"/>
            </w:pPr>
            <w:r>
              <w:t xml:space="preserve">IA-9</w:t>
            </w:r>
          </w:p>
        </w:tc>
      </w:tr>
      <w:tr>
        <w:tc>
          <w:tcPr/>
          <w:p>
            <w:pPr>
              <w:pStyle w:val="Compact"/>
            </w:pPr>
            <w:r>
              <w:rPr>
                <w:b/>
                <w:bCs/>
              </w:rPr>
              <w:t xml:space="preserve">AU-2</w:t>
            </w:r>
          </w:p>
        </w:tc>
        <w:tc>
          <w:tcPr/>
          <w:p>
            <w:pPr>
              <w:pStyle w:val="Compact"/>
            </w:pPr>
            <w:r>
              <w:t xml:space="preserve">DNS query events, DHCP lease events, IP allocation events, and cert enrollment events defined and logged</w:t>
            </w:r>
          </w:p>
        </w:tc>
        <w:tc>
          <w:tcPr/>
          <w:p>
            <w:pPr>
              <w:pStyle w:val="Compact"/>
            </w:pPr>
            <w:r>
              <w:t xml:space="preserve">SIEM event catalog; AU-2 event list</w:t>
            </w:r>
          </w:p>
        </w:tc>
        <w:tc>
          <w:tcPr/>
          <w:p>
            <w:pPr>
              <w:pStyle w:val="Compact"/>
            </w:pPr>
            <w:r>
              <w:t xml:space="preserve">AU-2</w:t>
            </w:r>
          </w:p>
        </w:tc>
      </w:tr>
      <w:tr>
        <w:tc>
          <w:tcPr/>
          <w:p>
            <w:pPr>
              <w:pStyle w:val="Compact"/>
            </w:pPr>
            <w:r>
              <w:rPr>
                <w:b/>
                <w:bCs/>
              </w:rPr>
              <w:t xml:space="preserve">AU-12</w:t>
            </w:r>
          </w:p>
        </w:tc>
        <w:tc>
          <w:tcPr/>
          <w:p>
            <w:pPr>
              <w:pStyle w:val="Compact"/>
            </w:pPr>
            <w:r>
              <w:t xml:space="preserve">Single syslog stream from all Grid Members across all four SDN environments; RFC 5424 format; 3-year retention</w:t>
            </w:r>
          </w:p>
        </w:tc>
        <w:tc>
          <w:tcPr/>
          <w:p>
            <w:pPr>
              <w:pStyle w:val="Compact"/>
            </w:pPr>
            <w:r>
              <w:t xml:space="preserve">SIEM dashboards; retention policy</w:t>
            </w:r>
          </w:p>
        </w:tc>
        <w:tc>
          <w:tcPr/>
          <w:p>
            <w:pPr>
              <w:pStyle w:val="Compact"/>
            </w:pPr>
            <w:r>
              <w:t xml:space="preserve">AU-12</w:t>
            </w:r>
          </w:p>
        </w:tc>
      </w:tr>
      <w:tr>
        <w:tc>
          <w:tcPr/>
          <w:p>
            <w:pPr>
              <w:pStyle w:val="Compact"/>
            </w:pPr>
            <w:r>
              <w:rPr>
                <w:b/>
                <w:bCs/>
              </w:rPr>
              <w:t xml:space="preserve">IR-4</w:t>
            </w:r>
          </w:p>
        </w:tc>
        <w:tc>
          <w:tcPr/>
          <w:p>
            <w:pPr>
              <w:pStyle w:val="Compact"/>
            </w:pPr>
            <w:r>
              <w:t xml:space="preserve">RPZ block events auto-generate SIEM IR tickets; DNSSEC failure triggers SOC alerts; DNS exfil detection</w:t>
            </w:r>
          </w:p>
        </w:tc>
        <w:tc>
          <w:tcPr/>
          <w:p>
            <w:pPr>
              <w:pStyle w:val="Compact"/>
            </w:pPr>
            <w:r>
              <w:t xml:space="preserve">IR playbook; RPZ alert→ticket pipeline</w:t>
            </w:r>
          </w:p>
        </w:tc>
        <w:tc>
          <w:tcPr/>
          <w:p>
            <w:pPr>
              <w:pStyle w:val="Compact"/>
            </w:pPr>
            <w:r>
              <w:t xml:space="preserve">IR-4, IR-5</w:t>
            </w:r>
          </w:p>
        </w:tc>
      </w:tr>
      <w:tr>
        <w:tc>
          <w:tcPr/>
          <w:p>
            <w:pPr>
              <w:pStyle w:val="Compact"/>
            </w:pPr>
            <w:r>
              <w:rPr>
                <w:b/>
                <w:bCs/>
              </w:rPr>
              <w:t xml:space="preserve">SI-3</w:t>
            </w:r>
          </w:p>
        </w:tc>
        <w:tc>
          <w:tcPr/>
          <w:p>
            <w:pPr>
              <w:pStyle w:val="Compact"/>
            </w:pPr>
            <w:r>
              <w:t xml:space="preserve">DNS-layer malware blocking via RPZ prevents resolution of C2 domains, ransomware, phishing</w:t>
            </w:r>
          </w:p>
        </w:tc>
        <w:tc>
          <w:tcPr/>
          <w:p>
            <w:pPr>
              <w:pStyle w:val="Compact"/>
            </w:pPr>
            <w:r>
              <w:t xml:space="preserve">RPZ block count by threat category</w:t>
            </w:r>
          </w:p>
        </w:tc>
        <w:tc>
          <w:tcPr/>
          <w:p>
            <w:pPr>
              <w:pStyle w:val="Compact"/>
            </w:pPr>
            <w:r>
              <w:t xml:space="preserve">SI-3, SI-3(1)</w:t>
            </w:r>
          </w:p>
        </w:tc>
      </w:tr>
      <w:tr>
        <w:tc>
          <w:tcPr/>
          <w:p>
            <w:pPr>
              <w:pStyle w:val="Compact"/>
            </w:pPr>
            <w:r>
              <w:rPr>
                <w:b/>
                <w:bCs/>
              </w:rPr>
              <w:t xml:space="preserve">PL-8</w:t>
            </w:r>
          </w:p>
        </w:tc>
        <w:tc>
          <w:tcPr/>
          <w:p>
            <w:pPr>
              <w:pStyle w:val="Compact"/>
            </w:pPr>
            <w:r>
              <w:t xml:space="preserve">Unified DDI architecture in SSP; InfoBlox FedRAMP ATO cited as inherited control for DDI layer</w:t>
            </w:r>
          </w:p>
        </w:tc>
        <w:tc>
          <w:tcPr/>
          <w:p>
            <w:pPr>
              <w:pStyle w:val="Compact"/>
            </w:pPr>
            <w:r>
              <w:t xml:space="preserve">SSP Section 13 architecture narrative</w:t>
            </w:r>
          </w:p>
        </w:tc>
        <w:tc>
          <w:tcPr/>
          <w:p>
            <w:pPr>
              <w:pStyle w:val="Compact"/>
            </w:pPr>
            <w:r>
              <w:t xml:space="preserve">PL-8</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important.png" id="9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SC-20 / SC-21 / SC-22 (authoritative DNS).</w:t>
            </w:r>
            <w:r>
              <w:t xml:space="preserve"> </w:t>
            </w:r>
            <w:r>
              <w:t xml:space="preserve">SC-20 requires the system to</w:t>
            </w:r>
            <w:r>
              <w:t xml:space="preserve"> </w:t>
            </w:r>
            <w:r>
              <w:rPr>
                <w:i/>
                <w:iCs/>
              </w:rPr>
              <w:t xml:space="preserve">provide</w:t>
            </w:r>
            <w:r>
              <w:t xml:space="preserve"> </w:t>
            </w:r>
            <w:r>
              <w:t xml:space="preserve">origin authentication and integrity verification artifacts with authoritative name resolution responses; SC-21 requires requesting systems to</w:t>
            </w:r>
            <w:r>
              <w:t xml:space="preserve"> </w:t>
            </w:r>
            <w:r>
              <w:rPr>
                <w:i/>
                <w:iCs/>
              </w:rPr>
              <w:t xml:space="preserve">perform</w:t>
            </w:r>
            <w:r>
              <w:t xml:space="preserve"> </w:t>
            </w:r>
            <w:r>
              <w:t xml:space="preserve">validation on the responses they receive; SC-22 requires the resolution architecture itself to be fault-tolerant and role-separated. All three controls presuppose an authoritative naming plane, because there is nothing else that can close them: you cannot attest authoritative name resolution without an authoritative resolver. No scanner creates a source of truth — a scanner, a compliance dashboard, or a conformance tool can only measure drift</w:t>
            </w:r>
            <w:r>
              <w:t xml:space="preserve"> </w:t>
            </w:r>
            <w:r>
              <w:rPr>
                <w:i/>
                <w:iCs/>
              </w:rPr>
              <w:t xml:space="preserve">from</w:t>
            </w:r>
            <w:r>
              <w:t xml:space="preserve"> </w:t>
            </w:r>
            <w:r>
              <w:t xml:space="preserve">a source of truth that must already exist. The DNSSEC-signed, view-separated Grid described in this document is not one implementation option among several; it is the class of mechanism these controls name.</w:t>
            </w:r>
          </w:p>
          <w:p/>
        </w:tc>
      </w:tr>
    </w:tbl>
    <w:p>
      <w:r>
        <w:pict>
          <v:rect style="width:0;height:1.5pt" o:hralign="center" o:hrstd="t" o:hr="t"/>
        </w:pict>
      </w:r>
    </w:p>
    <w:bookmarkEnd w:id="98"/>
    <w:bookmarkStart w:id="106" w:name="sec-ztmm"/>
    <w:p>
      <w:pPr>
        <w:pStyle w:val="Heading2"/>
      </w:pPr>
      <w:r>
        <w:t xml:space="preserve">8 CISA Zero Trust Maturity Model v2.0 Alignment</w:t>
      </w:r>
    </w:p>
    <w:p>
      <w:pPr>
        <w:pStyle w:val="FirstParagraph"/>
      </w:pPr>
      <w:r>
        <w:t xml:space="preserve">CISA’s Zero Trust Maturity Model v2.0 (April 2023) defines five pillars and three cross-cutting capabilities across four maturity stages: Traditional → Initial → Advanced → Optimal.</w:t>
      </w:r>
    </w:p>
    <w:p>
      <w:pPr>
        <w:pStyle w:val="CaptionedFigure"/>
      </w:pPr>
      <w:r>
        <w:drawing>
          <wp:inline>
            <wp:extent cx="5334000" cy="2963333"/>
            <wp:effectExtent b="0" l="0" r="0" t="0"/>
            <wp:docPr descr="CISA Zero Trust Maturity — Networks Pillar Progression" title="" id="100" name="Picture"/>
            <a:graphic>
              <a:graphicData uri="http://schemas.openxmlformats.org/drawingml/2006/picture">
                <pic:pic>
                  <pic:nvPicPr>
                    <pic:cNvPr descr="figs/lz-fig-11-zt-staircase.png" id="101" name="Picture"/>
                    <pic:cNvPicPr>
                      <a:picLocks noChangeArrowheads="1" noChangeAspect="1"/>
                    </pic:cNvPicPr>
                  </pic:nvPicPr>
                  <pic:blipFill>
                    <a:blip r:embed="rId9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CISA Zero Trust Maturity — Networks Pillar Progression</w:t>
      </w:r>
    </w:p>
    <w:bookmarkStart w:id="102" w:name="sec-zt-networks"/>
    <w:p>
      <w:pPr>
        <w:pStyle w:val="Heading3"/>
      </w:pPr>
      <w:r>
        <w:t xml:space="preserve">8.1 Networks Pillar (Deepest Alignment)</w:t>
      </w:r>
    </w:p>
    <w:p>
      <w:pPr>
        <w:pStyle w:val="TableCaption"/>
      </w:pPr>
      <w:r>
        <w:t xml:space="preserve">CISA Zero Trust Networks Pillar Alignment</w:t>
      </w:r>
    </w:p>
    <w:tbl>
      <w:tblPr>
        <w:tblStyle w:val="Table"/>
        <w:tblW w:type="pct" w:w="5000"/>
        <w:tblLayout w:type="fixed"/>
        <w:tblLook w:firstRow="1" w:lastRow="0" w:firstColumn="0" w:lastColumn="0" w:noHBand="0" w:noVBand="0" w:val="0020"/>
        <w:tblCaption w:val="CISA Zero Trust Networks Pillar Alignment"/>
      </w:tblPr>
      <w:tblGrid>
        <w:gridCol w:w="2640"/>
        <w:gridCol w:w="2640"/>
        <w:gridCol w:w="2640"/>
      </w:tblGrid>
      <w:tr>
        <w:trPr>
          <w:tblHeader w:val="on"/>
        </w:trPr>
        <w:tc>
          <w:tcPr/>
          <w:p>
            <w:pPr>
              <w:pStyle w:val="Compact"/>
            </w:pPr>
            <w:r>
              <w:t xml:space="preserve">CISA ZT Network Requirement</w:t>
            </w:r>
          </w:p>
        </w:tc>
        <w:tc>
          <w:tcPr/>
          <w:p>
            <w:pPr>
              <w:pStyle w:val="Compact"/>
            </w:pPr>
            <w:r>
              <w:t xml:space="preserve">InfoBlox DDI Implementation</w:t>
            </w:r>
          </w:p>
        </w:tc>
        <w:tc>
          <w:tcPr/>
          <w:p>
            <w:pPr>
              <w:pStyle w:val="Compact"/>
            </w:pPr>
            <w:r>
              <w:t xml:space="preserve">ZT Maturity Level</w:t>
            </w:r>
          </w:p>
        </w:tc>
      </w:tr>
      <w:tr>
        <w:tc>
          <w:tcPr/>
          <w:p>
            <w:pPr>
              <w:pStyle w:val="Compact"/>
            </w:pPr>
            <w:r>
              <w:t xml:space="preserve">Encrypt DNS traffic (DoH/DoT)</w:t>
            </w:r>
          </w:p>
        </w:tc>
        <w:tc>
          <w:tcPr/>
          <w:p>
            <w:pPr>
              <w:pStyle w:val="Compact"/>
            </w:pPr>
            <w:r>
              <w:t xml:space="preserve">Grid Members support DoH/DoT for client queries; DNSSEC validates response integrity end-to-end</w:t>
            </w:r>
          </w:p>
        </w:tc>
        <w:tc>
          <w:tcPr/>
          <w:p>
            <w:pPr>
              <w:pStyle w:val="Compact"/>
            </w:pPr>
            <w:r>
              <w:t xml:space="preserve">Advanced → Optimal</w:t>
            </w:r>
          </w:p>
        </w:tc>
      </w:tr>
      <w:tr>
        <w:tc>
          <w:tcPr/>
          <w:p>
            <w:pPr>
              <w:pStyle w:val="Compact"/>
            </w:pPr>
            <w:r>
              <w:t xml:space="preserve">Implement Protective DNS</w:t>
            </w:r>
          </w:p>
        </w:tc>
        <w:tc>
          <w:tcPr/>
          <w:p>
            <w:pPr>
              <w:pStyle w:val="Compact"/>
            </w:pPr>
            <w:r>
              <w:t xml:space="preserve">RPZ with CISA Protective DNS feed + TIDE commercial threat intel; blocks C2, phishing, DNS tunneling across all SDN environments</w:t>
            </w:r>
          </w:p>
        </w:tc>
        <w:tc>
          <w:tcPr/>
          <w:p>
            <w:pPr>
              <w:pStyle w:val="Compact"/>
            </w:pPr>
            <w:r>
              <w:t xml:space="preserve">Initial → Advanced</w:t>
            </w:r>
          </w:p>
        </w:tc>
      </w:tr>
      <w:tr>
        <w:tc>
          <w:tcPr/>
          <w:p>
            <w:pPr>
              <w:pStyle w:val="Compact"/>
            </w:pPr>
            <w:r>
              <w:t xml:space="preserve">DNS visibility for all workloads</w:t>
            </w:r>
          </w:p>
        </w:tc>
        <w:tc>
          <w:tcPr/>
          <w:p>
            <w:pPr>
              <w:pStyle w:val="Compact"/>
            </w:pPr>
            <w:r>
              <w:t xml:space="preserve">Unified syslog from all Grid Members; every DNS query logged with client IP, query name, response, latency</w:t>
            </w:r>
          </w:p>
        </w:tc>
        <w:tc>
          <w:tcPr/>
          <w:p>
            <w:pPr>
              <w:pStyle w:val="Compact"/>
            </w:pPr>
            <w:r>
              <w:t xml:space="preserve">Initial → Advanced</w:t>
            </w:r>
          </w:p>
        </w:tc>
      </w:tr>
      <w:tr>
        <w:tc>
          <w:tcPr/>
          <w:p>
            <w:pPr>
              <w:pStyle w:val="Compact"/>
            </w:pPr>
            <w:r>
              <w:t xml:space="preserve">IPAM as segmentation enforcement</w:t>
            </w:r>
          </w:p>
        </w:tc>
        <w:tc>
          <w:tcPr/>
          <w:p>
            <w:pPr>
              <w:pStyle w:val="Compact"/>
            </w:pPr>
            <w:r>
              <w:t xml:space="preserve">Network Views enforce CIDR segregation; IaC cannot allocate overlapping CIDRs; segment-level records map to NSX-T security groups and Azure NSGs</w:t>
            </w:r>
          </w:p>
        </w:tc>
        <w:tc>
          <w:tcPr/>
          <w:p>
            <w:pPr>
              <w:pStyle w:val="Compact"/>
            </w:pPr>
            <w:r>
              <w:t xml:space="preserve">Advanced</w:t>
            </w:r>
          </w:p>
        </w:tc>
      </w:tr>
      <w:tr>
        <w:tc>
          <w:tcPr/>
          <w:p>
            <w:pPr>
              <w:pStyle w:val="Compact"/>
            </w:pPr>
            <w:r>
              <w:t xml:space="preserve">SDN micro-segmentation integration</w:t>
            </w:r>
          </w:p>
        </w:tc>
        <w:tc>
          <w:tcPr/>
          <w:p>
            <w:pPr>
              <w:pStyle w:val="Compact"/>
            </w:pPr>
            <w:r>
              <w:t xml:space="preserve">NSX-T security groups can reference InfoBlox IPAM tags (workload classification, owner) as dynamic membership criteria</w:t>
            </w:r>
          </w:p>
        </w:tc>
        <w:tc>
          <w:tcPr/>
          <w:p>
            <w:pPr>
              <w:pStyle w:val="Compact"/>
            </w:pPr>
            <w:r>
              <w:t xml:space="preserve">Advanced → Optimal</w:t>
            </w:r>
          </w:p>
        </w:tc>
      </w:tr>
      <w:tr>
        <w:tc>
          <w:tcPr/>
          <w:p>
            <w:pPr>
              <w:pStyle w:val="Compact"/>
            </w:pPr>
            <w:r>
              <w:t xml:space="preserve">Certificate-based network authentication</w:t>
            </w:r>
          </w:p>
        </w:tc>
        <w:tc>
          <w:tcPr/>
          <w:p>
            <w:pPr>
              <w:pStyle w:val="Compact"/>
            </w:pPr>
            <w:r>
              <w:t xml:space="preserve">Certificate Tracker ensures every IP host record has a bound certificate; IP reputation replaced by certificate identity</w:t>
            </w:r>
          </w:p>
        </w:tc>
        <w:tc>
          <w:tcPr/>
          <w:p>
            <w:pPr>
              <w:pStyle w:val="Compact"/>
            </w:pPr>
            <w:r>
              <w:t xml:space="preserve">Advanced → Optimal</w:t>
            </w:r>
          </w:p>
        </w:tc>
      </w:tr>
    </w:tbl>
    <w:bookmarkEnd w:id="102"/>
    <w:bookmarkStart w:id="103" w:name="sec-zt-identity"/>
    <w:p>
      <w:pPr>
        <w:pStyle w:val="Heading3"/>
      </w:pPr>
      <w:r>
        <w:t xml:space="preserve">8.2 Identity Pillar (Network-Layer Support)</w:t>
      </w:r>
    </w:p>
    <w:p>
      <w:pPr>
        <w:pStyle w:val="FirstParagraph"/>
      </w:pPr>
      <w:r>
        <w:t xml:space="preserve">InfoBlox supports the Identity pillar through certificate lifecycle management — the mechanism by which workload identity is established at the network layer:</w:t>
      </w:r>
    </w:p>
    <w:p>
      <w:pPr>
        <w:pStyle w:val="Compact"/>
        <w:numPr>
          <w:ilvl w:val="0"/>
          <w:numId w:val="1006"/>
        </w:numPr>
      </w:pPr>
      <w:r>
        <w:t xml:space="preserve">SCEP/EST automation issues certificates to every new workload at provisioning time, establishing machine identity before the first connection</w:t>
      </w:r>
    </w:p>
    <w:p>
      <w:pPr>
        <w:pStyle w:val="Compact"/>
        <w:numPr>
          <w:ilvl w:val="0"/>
          <w:numId w:val="1006"/>
        </w:numPr>
      </w:pPr>
      <w:r>
        <w:t xml:space="preserve">Certificate-to-IP binding enables network devices to verify workload identity from the DNS/IPAM layer without agent deployment</w:t>
      </w:r>
    </w:p>
    <w:p>
      <w:pPr>
        <w:pStyle w:val="Compact"/>
        <w:numPr>
          <w:ilvl w:val="0"/>
          <w:numId w:val="1006"/>
        </w:numPr>
      </w:pPr>
      <w:r>
        <w:t xml:space="preserve">Certificate expiry alerting prevents identity credential expiration — a common cause of authentication outages</w:t>
      </w:r>
    </w:p>
    <w:bookmarkEnd w:id="103"/>
    <w:bookmarkStart w:id="104" w:name="sec-zt-visibility"/>
    <w:p>
      <w:pPr>
        <w:pStyle w:val="Heading3"/>
      </w:pPr>
      <w:r>
        <w:t xml:space="preserve">8.3 Cross-Cutting: Visibility and Analytics</w:t>
      </w:r>
    </w:p>
    <w:p>
      <w:pPr>
        <w:pStyle w:val="FirstParagraph"/>
      </w:pPr>
      <w:r>
        <w:t xml:space="preserve">InfoBlox contributes three telemetry streams to CISA’s Visibility and Analytics capability:</w:t>
      </w:r>
    </w:p>
    <w:p>
      <w:pPr>
        <w:pStyle w:val="Compact"/>
        <w:numPr>
          <w:ilvl w:val="0"/>
          <w:numId w:val="1007"/>
        </w:numPr>
      </w:pPr>
      <w:r>
        <w:rPr>
          <w:b/>
          <w:bCs/>
        </w:rPr>
        <w:t xml:space="preserve">DNS query telemetry:</w:t>
      </w:r>
      <w:r>
        <w:t xml:space="preserve"> </w:t>
      </w:r>
      <w:r>
        <w:t xml:space="preserve">every DNS resolution event from every SDN workload, with client IP, query type, response, latency, and RPZ action</w:t>
      </w:r>
    </w:p>
    <w:p>
      <w:pPr>
        <w:pStyle w:val="Compact"/>
        <w:numPr>
          <w:ilvl w:val="0"/>
          <w:numId w:val="1007"/>
        </w:numPr>
      </w:pPr>
      <w:r>
        <w:rPr>
          <w:b/>
          <w:bCs/>
        </w:rPr>
        <w:t xml:space="preserve">DHCP/IP event telemetry:</w:t>
      </w:r>
      <w:r>
        <w:t xml:space="preserve"> </w:t>
      </w:r>
      <w:r>
        <w:t xml:space="preserve">every IP allocation, renewal, and release with device metadata</w:t>
      </w:r>
    </w:p>
    <w:p>
      <w:pPr>
        <w:pStyle w:val="Compact"/>
        <w:numPr>
          <w:ilvl w:val="0"/>
          <w:numId w:val="1007"/>
        </w:numPr>
      </w:pPr>
      <w:r>
        <w:rPr>
          <w:b/>
          <w:bCs/>
        </w:rPr>
        <w:t xml:space="preserve">Certificate telemetry:</w:t>
      </w:r>
      <w:r>
        <w:t xml:space="preserve"> </w:t>
      </w:r>
      <w:r>
        <w:t xml:space="preserve">every expiry warning and enrollment event</w:t>
      </w:r>
    </w:p>
    <w:p>
      <w:pPr>
        <w:pStyle w:val="FirstParagraph"/>
      </w:pPr>
      <w:r>
        <w:t xml:space="preserve">All three streams flow to the SIEM in consistent syslog format — enabling correlation across DNS, IP, and certificate events that individually appear innocuous but together may indicate lateral movement or data exfiltration.</w:t>
      </w:r>
    </w:p>
    <w:bookmarkEnd w:id="104"/>
    <w:bookmarkStart w:id="105" w:name="sec-zt-automation"/>
    <w:p>
      <w:pPr>
        <w:pStyle w:val="Heading3"/>
      </w:pPr>
      <w:r>
        <w:t xml:space="preserve">8.4 Cross-Cutting: Automation and Orchestration</w:t>
      </w:r>
    </w:p>
    <w:p>
      <w:pPr>
        <w:pStyle w:val="FirstParagraph"/>
      </w:pPr>
      <w:r>
        <w:t xml:space="preserve">InfoBlox’s IaC integrations directly enable the CISA Automation and Orchestration capability:</w:t>
      </w:r>
    </w:p>
    <w:p>
      <w:pPr>
        <w:pStyle w:val="Compact"/>
        <w:numPr>
          <w:ilvl w:val="0"/>
          <w:numId w:val="1008"/>
        </w:numPr>
      </w:pPr>
      <w:r>
        <w:t xml:space="preserve">Network resource provisioning (IP, DNS, cert) is automated in IaC pipelines — no manual steps that bypass policy</w:t>
      </w:r>
    </w:p>
    <w:p>
      <w:pPr>
        <w:pStyle w:val="Compact"/>
        <w:numPr>
          <w:ilvl w:val="0"/>
          <w:numId w:val="1008"/>
        </w:numPr>
      </w:pPr>
      <w:r>
        <w:t xml:space="preserve">VCF 9.1 native InfoBlox integration automates DDI for VMware workloads from day one</w:t>
      </w:r>
    </w:p>
    <w:p>
      <w:pPr>
        <w:pStyle w:val="Compact"/>
        <w:numPr>
          <w:ilvl w:val="0"/>
          <w:numId w:val="1008"/>
        </w:numPr>
      </w:pPr>
      <w:r>
        <w:t xml:space="preserve">RPZ updates are automated from threat intelligence feeds — human review required only for false positive exceptions</w:t>
      </w:r>
    </w:p>
    <w:p>
      <w:r>
        <w:pict>
          <v:rect style="width:0;height:1.5pt" o:hralign="center" o:hrstd="t" o:hr="t"/>
        </w:pict>
      </w:r>
    </w:p>
    <w:bookmarkEnd w:id="105"/>
    <w:bookmarkEnd w:id="106"/>
    <w:bookmarkStart w:id="116" w:name="sec-boundary"/>
    <w:p>
      <w:pPr>
        <w:pStyle w:val="Heading2"/>
      </w:pPr>
      <w:r>
        <w:t xml:space="preserve">9 FedRAMP Boundary Enforcement</w:t>
      </w:r>
    </w:p>
    <w:p>
      <w:pPr>
        <w:pStyle w:val="CaptionedFigure"/>
      </w:pPr>
      <w:r>
        <w:drawing>
          <wp:inline>
            <wp:extent cx="5334000" cy="2963333"/>
            <wp:effectExtent b="0" l="0" r="0" t="0"/>
            <wp:docPr descr="InfoBlox RPZ: The DNS-Layer FedRAMP Boundary Gate" title="" id="108" name="Picture"/>
            <a:graphic>
              <a:graphicData uri="http://schemas.openxmlformats.org/drawingml/2006/picture">
                <pic:pic>
                  <pic:nvPicPr>
                    <pic:cNvPr descr="figs/lz-fig-15-rpz-gate.png" id="109" name="Picture"/>
                    <pic:cNvPicPr>
                      <a:picLocks noChangeArrowheads="1" noChangeAspect="1"/>
                    </pic:cNvPicPr>
                  </pic:nvPicPr>
                  <pic:blipFill>
                    <a:blip r:embed="rId10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InfoBlox RPZ: The DNS-Layer FedRAMP Boundary Gate</w:t>
      </w:r>
    </w:p>
    <w:p>
      <w:pPr>
        <w:pStyle w:val="CaptionedFigure"/>
      </w:pPr>
      <w:r>
        <w:drawing>
          <wp:inline>
            <wp:extent cx="5334000" cy="3022600"/>
            <wp:effectExtent b="0" l="0" r="0" t="0"/>
            <wp:docPr descr="InfoBlox DDI as the FedRAMP Authorization Boundary Enforcement Layer" title="" id="111" name="Picture"/>
            <a:graphic>
              <a:graphicData uri="http://schemas.openxmlformats.org/drawingml/2006/picture">
                <pic:pic>
                  <pic:nvPicPr>
                    <pic:cNvPr descr="figs/lz-fig-05-boundary.png" id="112" name="Picture"/>
                    <pic:cNvPicPr>
                      <a:picLocks noChangeArrowheads="1" noChangeAspect="1"/>
                    </pic:cNvPicPr>
                  </pic:nvPicPr>
                  <pic:blipFill>
                    <a:blip r:embed="rId110"/>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InfoBlox DDI as the FedRAMP Authorization Boundary Enforcement Layer</w:t>
      </w:r>
    </w:p>
    <w:p>
      <w:pPr>
        <w:pStyle w:val="BodyText"/>
      </w:pPr>
      <w:r>
        <w:t xml:space="preserve">InfoBlox DDI enforces the FedRAMP authorization boundary at three layers simultaneously:</w:t>
      </w:r>
    </w:p>
    <w:p>
      <w:pPr>
        <w:pStyle w:val="BodyText"/>
      </w:pPr>
      <w:r>
        <w:rPr>
          <w:b/>
          <w:bCs/>
        </w:rPr>
        <w:t xml:space="preserve">Layer 1 — IP Inventory = Boundary Definition.</w:t>
      </w:r>
      <w:r>
        <w:t xml:space="preserve"> </w:t>
      </w:r>
      <w:r>
        <w:t xml:space="preserve">The FedRAMP authorization boundary is defined by IP address ranges. InfoBlox IPAM</w:t>
      </w:r>
      <w:r>
        <w:t xml:space="preserve"> </w:t>
      </w:r>
      <w:r>
        <w:rPr>
          <w:i/>
          <w:iCs/>
        </w:rPr>
        <w:t xml:space="preserve">is</w:t>
      </w:r>
      <w:r>
        <w:t xml:space="preserve"> </w:t>
      </w:r>
      <w:r>
        <w:t xml:space="preserve">the authoritative record of every IP inside the boundary. The CM-8 IP inventory export</w:t>
      </w:r>
      <w:r>
        <w:t xml:space="preserve"> </w:t>
      </w:r>
      <w:r>
        <w:rPr>
          <w:i/>
          <w:iCs/>
        </w:rPr>
        <w:t xml:space="preserve">is</w:t>
      </w:r>
      <w:r>
        <w:t xml:space="preserve"> </w:t>
      </w:r>
      <w:r>
        <w:t xml:space="preserve">the boundary IP list — no separate reconciliation required.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important.png" id="1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CM-8 (system component inventory).</w:t>
            </w:r>
            <w:r>
              <w:t xml:space="preserve"> </w:t>
            </w:r>
            <w:r>
              <w:t xml:space="preserve">CM-8 requires an inventory that accurately reflects the system and includes all components within its boundary. You cannot inventory what you cannot enumerate — and the only layer that observes every component at the moment it joins the network is the addressing plane, because every component must take an address before it can do anything else. Discovery scanners enumerate what answered a probe during a scan window; an IPAM database enumerates what was</w:t>
            </w:r>
            <w:r>
              <w:t xml:space="preserve"> </w:t>
            </w:r>
            <w:r>
              <w:rPr>
                <w:i/>
                <w:iCs/>
              </w:rPr>
              <w:t xml:space="preserve">allocated</w:t>
            </w:r>
            <w:r>
              <w:t xml:space="preserve">, which is the population the scanner’s results must be reconciled against. Without the enumeration substrate, a scan result is a sample with no denominator. DHCP fingerprinting extends the same substrate downward to device identity at the moment of lease — the port-level device inventory built on it is the subject of</w:t>
            </w:r>
            <w:r>
              <w:t xml:space="preserve"> </w:t>
            </w:r>
            <w:hyperlink r:id="rId115">
              <w:r>
                <w:rPr>
                  <w:rStyle w:val="Hyperlink"/>
                </w:rPr>
                <w:t xml:space="preserve">Book 02</w:t>
              </w:r>
            </w:hyperlink>
            <w:r>
              <w:t xml:space="preserve">.</w:t>
            </w:r>
          </w:p>
          <w:p/>
        </w:tc>
      </w:tr>
    </w:tbl>
    <w:p>
      <w:pPr>
        <w:pStyle w:val="BodyText"/>
      </w:pPr>
      <w:r>
        <w:rPr>
          <w:b/>
          <w:bCs/>
        </w:rPr>
        <w:t xml:space="preserve">Layer 2 — DNS = Boundary Enforcement at Egress.</w:t>
      </w:r>
      <w:r>
        <w:t xml:space="preserve"> </w:t>
      </w:r>
      <w:r>
        <w:t xml:space="preserve">Every DNS query from every workload passes through the InfoBlox Grid Member (because all VPC/VNet/NSX-T DHCP Options point to it). InfoBlox enforces:</w:t>
      </w:r>
    </w:p>
    <w:p>
      <w:pPr>
        <w:pStyle w:val="Compact"/>
        <w:numPr>
          <w:ilvl w:val="0"/>
          <w:numId w:val="1009"/>
        </w:numPr>
      </w:pPr>
      <w:r>
        <w:t xml:space="preserve">RPZ blocks commercial M365 endpoints (prevents FedRAMP data reaching non-GCC Microsoft infrastructure)</w:t>
      </w:r>
    </w:p>
    <w:p>
      <w:pPr>
        <w:pStyle w:val="Compact"/>
        <w:numPr>
          <w:ilvl w:val="0"/>
          <w:numId w:val="1009"/>
        </w:numPr>
      </w:pPr>
      <w:r>
        <w:t xml:space="preserve">RPZ blocks non-FedRAMP SaaS FQDNs (prevents workloads from reaching unauthorized cloud services)</w:t>
      </w:r>
    </w:p>
    <w:p>
      <w:pPr>
        <w:pStyle w:val="Compact"/>
        <w:numPr>
          <w:ilvl w:val="0"/>
          <w:numId w:val="1009"/>
        </w:numPr>
      </w:pPr>
      <w:r>
        <w:t xml:space="preserve">Conditional forwarders for external services generate the SA-9 documentation automatically</w:t>
      </w:r>
    </w:p>
    <w:p>
      <w:pPr>
        <w:pStyle w:val="Compact"/>
        <w:numPr>
          <w:ilvl w:val="0"/>
          <w:numId w:val="1009"/>
        </w:numPr>
      </w:pPr>
      <w:r>
        <w:t xml:space="preserve">DNSSEC validation required — DNS spoofing that could redirect traffic outside the boundary is rejected</w:t>
      </w:r>
    </w:p>
    <w:p>
      <w:pPr>
        <w:pStyle w:val="Compact"/>
        <w:numPr>
          <w:ilvl w:val="0"/>
          <w:numId w:val="1009"/>
        </w:numPr>
      </w:pPr>
      <w:r>
        <w:t xml:space="preserve">Query logging for all workloads — AU-12 evidence: every external communication visible in DNS logs</w:t>
      </w:r>
    </w:p>
    <w:p>
      <w:pPr>
        <w:pStyle w:val="FirstParagraph"/>
      </w:pPr>
      <w:r>
        <w:rPr>
          <w:b/>
          <w:bCs/>
        </w:rPr>
        <w:t xml:space="preserve">Layer 3 — Certificate Binding = Boundary Identity.</w:t>
      </w:r>
      <w:r>
        <w:t xml:space="preserve"> </w:t>
      </w:r>
      <w:r>
        <w:t xml:space="preserve">Only IP host records within the InfoBlox IPAM database can receive certificates via SCEP/EST enrollment automation. Certificate possession = boundary membership — a powerful assertion for boundary documentation and IA-9 satisfaction.</w:t>
      </w:r>
    </w:p>
    <w:p>
      <w:r>
        <w:pict>
          <v:rect style="width:0;height:1.5pt" o:hralign="center" o:hrstd="t" o:hr="t"/>
        </w:pict>
      </w:r>
    </w:p>
    <w:bookmarkEnd w:id="116"/>
    <w:bookmarkStart w:id="121" w:name="sec-fedramp"/>
    <w:p>
      <w:pPr>
        <w:pStyle w:val="Heading2"/>
      </w:pPr>
      <w:r>
        <w:t xml:space="preserve">10 FedRAMP Moderate and FedRAMP 20x Controls</w:t>
      </w:r>
    </w:p>
    <w:bookmarkStart w:id="117" w:name="sec-fedramp-moderate"/>
    <w:p>
      <w:pPr>
        <w:pStyle w:val="Heading3"/>
      </w:pPr>
      <w:r>
        <w:t xml:space="preserve">10.1 FedRAMP Moderate: The Evidence Package</w:t>
      </w:r>
    </w:p>
    <w:p>
      <w:pPr>
        <w:pStyle w:val="FirstParagraph"/>
      </w:pPr>
      <w:r>
        <w:t xml:space="preserve">InfoBlox DDI produces a complete evidence package for FedRAMP Moderate annual assessments without manual evidence collection:</w:t>
      </w:r>
    </w:p>
    <w:p>
      <w:pPr>
        <w:pStyle w:val="TableCaption"/>
      </w:pPr>
      <w:r>
        <w:t xml:space="preserve">FedRAMP Moderate Evidence Package</w:t>
      </w:r>
    </w:p>
    <w:tbl>
      <w:tblPr>
        <w:tblStyle w:val="Table"/>
        <w:tblW w:type="pct" w:w="5000"/>
        <w:tblLayout w:type="fixed"/>
        <w:tblLook w:firstRow="1" w:lastRow="0" w:firstColumn="0" w:lastColumn="0" w:noHBand="0" w:noVBand="0" w:val="0020"/>
        <w:tblCaption w:val="FedRAMP Moderate Evidence Package"/>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Evidence Source</w:t>
            </w:r>
          </w:p>
        </w:tc>
        <w:tc>
          <w:tcPr/>
          <w:p>
            <w:pPr>
              <w:pStyle w:val="Compact"/>
            </w:pPr>
            <w:r>
              <w:t xml:space="preserve">Format</w:t>
            </w:r>
          </w:p>
        </w:tc>
        <w:tc>
          <w:tcPr/>
          <w:p>
            <w:pPr>
              <w:pStyle w:val="Compact"/>
            </w:pPr>
            <w:r>
              <w:t xml:space="preserve">Collection</w:t>
            </w:r>
          </w:p>
        </w:tc>
      </w:tr>
      <w:tr>
        <w:tc>
          <w:tcPr/>
          <w:p>
            <w:pPr>
              <w:pStyle w:val="Compact"/>
            </w:pPr>
            <w:r>
              <w:t xml:space="preserve">SC-20 / SC-21</w:t>
            </w:r>
          </w:p>
        </w:tc>
        <w:tc>
          <w:tcPr/>
          <w:p>
            <w:pPr>
              <w:pStyle w:val="Compact"/>
            </w:pPr>
            <w:r>
              <w:t xml:space="preserve">InfoBlox DNSSEC key rotation log; RPZ hit log</w:t>
            </w:r>
          </w:p>
        </w:tc>
        <w:tc>
          <w:tcPr/>
          <w:p>
            <w:pPr>
              <w:pStyle w:val="Compact"/>
            </w:pPr>
            <w:r>
              <w:t xml:space="preserve">Grid audit log export</w:t>
            </w:r>
          </w:p>
        </w:tc>
        <w:tc>
          <w:tcPr/>
          <w:p>
            <w:pPr>
              <w:pStyle w:val="Compact"/>
            </w:pPr>
            <w:r>
              <w:t xml:space="preserve">Automated</w:t>
            </w:r>
          </w:p>
        </w:tc>
      </w:tr>
      <w:tr>
        <w:tc>
          <w:tcPr/>
          <w:p>
            <w:pPr>
              <w:pStyle w:val="Compact"/>
            </w:pPr>
            <w:r>
              <w:t xml:space="preserve">CM-8</w:t>
            </w:r>
          </w:p>
        </w:tc>
        <w:tc>
          <w:tcPr/>
          <w:p>
            <w:pPr>
              <w:pStyle w:val="Compact"/>
            </w:pPr>
            <w:r>
              <w:t xml:space="preserve">InfoBlox IP host record database</w:t>
            </w:r>
          </w:p>
        </w:tc>
        <w:tc>
          <w:tcPr/>
          <w:p>
            <w:pPr>
              <w:pStyle w:val="Compact"/>
            </w:pPr>
            <w:r>
              <w:t xml:space="preserve">CSV / ServiceNow CMDB sync</w:t>
            </w:r>
          </w:p>
        </w:tc>
        <w:tc>
          <w:tcPr/>
          <w:p>
            <w:pPr>
              <w:pStyle w:val="Compact"/>
            </w:pPr>
            <w:r>
              <w:t xml:space="preserve">API export on demand</w:t>
            </w:r>
          </w:p>
        </w:tc>
      </w:tr>
      <w:tr>
        <w:tc>
          <w:tcPr/>
          <w:p>
            <w:pPr>
              <w:pStyle w:val="Compact"/>
            </w:pPr>
            <w:r>
              <w:t xml:space="preserve">IA-5(2)</w:t>
            </w:r>
          </w:p>
        </w:tc>
        <w:tc>
          <w:tcPr/>
          <w:p>
            <w:pPr>
              <w:pStyle w:val="Compact"/>
            </w:pPr>
            <w:r>
              <w:t xml:space="preserve">InfoBlox Certificate Tracker</w:t>
            </w:r>
          </w:p>
        </w:tc>
        <w:tc>
          <w:tcPr/>
          <w:p>
            <w:pPr>
              <w:pStyle w:val="Compact"/>
            </w:pPr>
            <w:r>
              <w:t xml:space="preserve">Certificate inventory report</w:t>
            </w:r>
          </w:p>
        </w:tc>
        <w:tc>
          <w:tcPr/>
          <w:p>
            <w:pPr>
              <w:pStyle w:val="Compact"/>
            </w:pPr>
            <w:r>
              <w:t xml:space="preserve">API export on demand</w:t>
            </w:r>
          </w:p>
        </w:tc>
      </w:tr>
      <w:tr>
        <w:tc>
          <w:tcPr/>
          <w:p>
            <w:pPr>
              <w:pStyle w:val="Compact"/>
            </w:pPr>
            <w:r>
              <w:t xml:space="preserve">AU-2 / AU-12</w:t>
            </w:r>
          </w:p>
        </w:tc>
        <w:tc>
          <w:tcPr/>
          <w:p>
            <w:pPr>
              <w:pStyle w:val="Compact"/>
            </w:pPr>
            <w:r>
              <w:t xml:space="preserve">SIEM fed by InfoBlox syslog stream</w:t>
            </w:r>
          </w:p>
        </w:tc>
        <w:tc>
          <w:tcPr/>
          <w:p>
            <w:pPr>
              <w:pStyle w:val="Compact"/>
            </w:pPr>
            <w:r>
              <w:t xml:space="preserve">SIEM query results</w:t>
            </w:r>
          </w:p>
        </w:tc>
        <w:tc>
          <w:tcPr/>
          <w:p>
            <w:pPr>
              <w:pStyle w:val="Compact"/>
            </w:pPr>
            <w:r>
              <w:t xml:space="preserve">Pre-built SIEM dashboards</w:t>
            </w:r>
          </w:p>
        </w:tc>
      </w:tr>
      <w:tr>
        <w:tc>
          <w:tcPr/>
          <w:p>
            <w:pPr>
              <w:pStyle w:val="Compact"/>
            </w:pPr>
            <w:r>
              <w:t xml:space="preserve">IR-4</w:t>
            </w:r>
          </w:p>
        </w:tc>
        <w:tc>
          <w:tcPr/>
          <w:p>
            <w:pPr>
              <w:pStyle w:val="Compact"/>
            </w:pPr>
            <w:r>
              <w:t xml:space="preserve">SIEM IR playbook execution logs; RPZ alert ticket history</w:t>
            </w:r>
          </w:p>
        </w:tc>
        <w:tc>
          <w:tcPr/>
          <w:p>
            <w:pPr>
              <w:pStyle w:val="Compact"/>
            </w:pPr>
            <w:r>
              <w:t xml:space="preserve">ServiceNow tickets</w:t>
            </w:r>
          </w:p>
        </w:tc>
        <w:tc>
          <w:tcPr/>
          <w:p>
            <w:pPr>
              <w:pStyle w:val="Compact"/>
            </w:pPr>
            <w:r>
              <w:t xml:space="preserve">ITSM integration</w:t>
            </w:r>
          </w:p>
        </w:tc>
      </w:tr>
      <w:tr>
        <w:tc>
          <w:tcPr/>
          <w:p>
            <w:pPr>
              <w:pStyle w:val="Compact"/>
            </w:pPr>
            <w:r>
              <w:t xml:space="preserve">SA-9</w:t>
            </w:r>
          </w:p>
        </w:tc>
        <w:tc>
          <w:tcPr/>
          <w:p>
            <w:pPr>
              <w:pStyle w:val="Compact"/>
            </w:pPr>
            <w:r>
              <w:t xml:space="preserve">InfoBlox External DNS Server config; SSP SA-9 table</w:t>
            </w:r>
          </w:p>
        </w:tc>
        <w:tc>
          <w:tcPr/>
          <w:p>
            <w:pPr>
              <w:pStyle w:val="Compact"/>
            </w:pPr>
            <w:r>
              <w:t xml:space="preserve">InfoBlox config export</w:t>
            </w:r>
          </w:p>
        </w:tc>
        <w:tc>
          <w:tcPr/>
          <w:p>
            <w:pPr>
              <w:pStyle w:val="Compact"/>
            </w:pPr>
            <w:r>
              <w:t xml:space="preserve">Grid config snapshot</w:t>
            </w:r>
          </w:p>
        </w:tc>
      </w:tr>
      <w:tr>
        <w:tc>
          <w:tcPr/>
          <w:p>
            <w:pPr>
              <w:pStyle w:val="Compact"/>
            </w:pPr>
            <w:r>
              <w:t xml:space="preserve">SC-22</w:t>
            </w:r>
          </w:p>
        </w:tc>
        <w:tc>
          <w:tcPr/>
          <w:p>
            <w:pPr>
              <w:pStyle w:val="Compact"/>
            </w:pPr>
            <w:r>
              <w:t xml:space="preserve">InfoBlox Network Insight topology report</w:t>
            </w:r>
          </w:p>
        </w:tc>
        <w:tc>
          <w:tcPr/>
          <w:p>
            <w:pPr>
              <w:pStyle w:val="Compact"/>
            </w:pPr>
            <w:r>
              <w:t xml:space="preserve">PDF / JSON topology export</w:t>
            </w:r>
          </w:p>
        </w:tc>
        <w:tc>
          <w:tcPr/>
          <w:p>
            <w:pPr>
              <w:pStyle w:val="Compact"/>
            </w:pPr>
            <w:r>
              <w:t xml:space="preserve">Network Insight scheduler</w:t>
            </w:r>
          </w:p>
        </w:tc>
      </w:tr>
    </w:tbl>
    <w:bookmarkEnd w:id="117"/>
    <w:bookmarkStart w:id="120" w:name="sec-fedramp-20x"/>
    <w:p>
      <w:pPr>
        <w:pStyle w:val="Heading3"/>
      </w:pPr>
      <w:r>
        <w:t xml:space="preserve">10.2 FedRAMP 20x: Automated KSI Enforcement</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a single stable ruleset that supersedes the 20x pilot framework. Three classification tiers replace the single 20x path:</w:t>
      </w:r>
      <w:r>
        <w:t xml:space="preserve"> </w:t>
      </w:r>
      <w:r>
        <w:rPr>
          <w:b/>
          <w:bCs/>
        </w:rPr>
        <w:t xml:space="preserve">Class A</w:t>
      </w:r>
      <w:r>
        <w:t xml:space="preserve"> </w:t>
      </w:r>
      <w:r>
        <w:t xml:space="preserve">(simplest CSPs, opens August 3, 2026),</w:t>
      </w:r>
      <w:r>
        <w:t xml:space="preserve"> </w:t>
      </w:r>
      <w:r>
        <w:rPr>
          <w:b/>
          <w:bCs/>
        </w:rPr>
        <w:t xml:space="preserve">Class B</w:t>
      </w:r>
      <w:r>
        <w:t xml:space="preserve"> </w:t>
      </w:r>
      <w:r>
        <w:t xml:space="preserve">and</w:t>
      </w:r>
      <w:r>
        <w:t xml:space="preserve"> </w:t>
      </w:r>
      <w:r>
        <w:rPr>
          <w:b/>
          <w:bCs/>
        </w:rPr>
        <w:t xml:space="preserve">Class C</w:t>
      </w:r>
      <w:r>
        <w:t xml:space="preserve"> </w:t>
      </w:r>
      <w:r>
        <w:t xml:space="preserve">(open August 31, 2026). The Consolidated Rules become</w:t>
      </w:r>
      <w:r>
        <w:t xml:space="preserve"> </w:t>
      </w:r>
      <w:r>
        <w:rPr>
          <w:b/>
          <w:bCs/>
        </w:rPr>
        <w:t xml:space="preserve">mandatory for all certified systems on January 1, 2027</w:t>
      </w:r>
      <w:r>
        <w:t xml:space="preserve">. New Rev5 certifications will no longer be accepted after June 11, 2027. Machine-readable rules are published in JSON format via GitHub, enabling AI agent integration and automated compliance verification.</w:t>
      </w:r>
    </w:p>
    <w:p>
      <w:pPr>
        <w:pStyle w:val="BodyText"/>
      </w:pPr>
      <w:r>
        <w:t xml:space="preserve">For SSA’s multi-environment landing zone, InfoBlox DDI is well-positioned for the</w:t>
      </w:r>
      <w:r>
        <w:t xml:space="preserve"> </w:t>
      </w:r>
      <w:r>
        <w:rPr>
          <w:b/>
          <w:bCs/>
        </w:rPr>
        <w:t xml:space="preserve">Class B or Class C pathway</w:t>
      </w:r>
      <w:r>
        <w:t xml:space="preserve"> </w:t>
      </w:r>
      <w:r>
        <w:t xml:space="preserve">given its multi-cloud scope. The WAPI REST interface delivers structured JSON evidence for every KSI — no manual assembly required.</w:t>
      </w:r>
    </w:p>
    <w:p>
      <w:pPr>
        <w:pStyle w:val="BodyText"/>
      </w:pPr>
      <w:r>
        <w:t xml:space="preserve">FedRAMP 20x replaces periodic evidence collection with continuously-verified Key Security Indicators enforced by infrastructure-as-code guardrails:</w:t>
      </w:r>
    </w:p>
    <w:p>
      <w:pPr>
        <w:pStyle w:val="TableCaption"/>
      </w:pPr>
      <w:r>
        <w:t xml:space="preserve">FedRAMP 20x KSI Automation</w:t>
      </w:r>
    </w:p>
    <w:tbl>
      <w:tblPr>
        <w:tblStyle w:val="Table"/>
        <w:tblW w:type="pct" w:w="5000"/>
        <w:tblLayout w:type="fixed"/>
        <w:tblLook w:firstRow="1" w:lastRow="0" w:firstColumn="0" w:lastColumn="0" w:noHBand="0" w:noVBand="0" w:val="0020"/>
        <w:tblCaption w:val="FedRAMP 20x KSI Automation"/>
      </w:tblPr>
      <w:tblGrid>
        <w:gridCol w:w="2640"/>
        <w:gridCol w:w="2640"/>
        <w:gridCol w:w="2640"/>
      </w:tblGrid>
      <w:tr>
        <w:trPr>
          <w:tblHeader w:val="on"/>
        </w:trPr>
        <w:tc>
          <w:tcPr/>
          <w:p>
            <w:pPr>
              <w:pStyle w:val="Compact"/>
            </w:pPr>
            <w:r>
              <w:t xml:space="preserve">FedRAMP 20x KSI</w:t>
            </w:r>
          </w:p>
        </w:tc>
        <w:tc>
          <w:tcPr/>
          <w:p>
            <w:pPr>
              <w:pStyle w:val="Compact"/>
            </w:pPr>
            <w:r>
              <w:t xml:space="preserve">InfoBlox Enforcement</w:t>
            </w:r>
          </w:p>
        </w:tc>
        <w:tc>
          <w:tcPr/>
          <w:p>
            <w:pPr>
              <w:pStyle w:val="Compact"/>
            </w:pPr>
            <w:r>
              <w:t xml:space="preserve">Automated?</w:t>
            </w:r>
          </w:p>
        </w:tc>
      </w:tr>
      <w:tr>
        <w:tc>
          <w:tcPr/>
          <w:p>
            <w:pPr>
              <w:pStyle w:val="Compact"/>
            </w:pPr>
            <w:r>
              <w:t xml:space="preserve">All DNS traffic encrypted or integrity-protected</w:t>
            </w:r>
          </w:p>
        </w:tc>
        <w:tc>
          <w:tcPr/>
          <w:p>
            <w:pPr>
              <w:pStyle w:val="Compact"/>
            </w:pPr>
            <w:r>
              <w:t xml:space="preserve">DNSSEC on all zones; DoH/DoT endpoint on Grid Members</w:t>
            </w:r>
          </w:p>
        </w:tc>
        <w:tc>
          <w:tcPr/>
          <w:p>
            <w:pPr>
              <w:pStyle w:val="Compact"/>
            </w:pPr>
            <w:r>
              <w:rPr>
                <w:b/>
                <w:bCs/>
              </w:rPr>
              <w:t xml:space="preserve">Yes</w:t>
            </w:r>
            <w:r>
              <w:t xml:space="preserve"> </w:t>
            </w:r>
            <w:r>
              <w:t xml:space="preserve">— Grid policy</w:t>
            </w:r>
          </w:p>
        </w:tc>
      </w:tr>
      <w:tr>
        <w:tc>
          <w:tcPr/>
          <w:p>
            <w:pPr>
              <w:pStyle w:val="Compact"/>
            </w:pPr>
            <w:r>
              <w:t xml:space="preserve">Protective DNS for all workloads</w:t>
            </w:r>
          </w:p>
        </w:tc>
        <w:tc>
          <w:tcPr/>
          <w:p>
            <w:pPr>
              <w:pStyle w:val="Compact"/>
            </w:pPr>
            <w:r>
              <w:t xml:space="preserve">Grid Member = resolver for all VPC/VNet DHCP options; RPZ active</w:t>
            </w:r>
          </w:p>
        </w:tc>
        <w:tc>
          <w:tcPr/>
          <w:p>
            <w:pPr>
              <w:pStyle w:val="Compact"/>
            </w:pPr>
            <w:r>
              <w:rPr>
                <w:b/>
                <w:bCs/>
              </w:rPr>
              <w:t xml:space="preserve">Yes</w:t>
            </w:r>
            <w:r>
              <w:t xml:space="preserve"> </w:t>
            </w:r>
            <w:r>
              <w:t xml:space="preserve">— DHCP Options + RPZ</w:t>
            </w:r>
          </w:p>
        </w:tc>
      </w:tr>
      <w:tr>
        <w:tc>
          <w:tcPr/>
          <w:p>
            <w:pPr>
              <w:pStyle w:val="Compact"/>
            </w:pPr>
            <w:r>
              <w:t xml:space="preserve">IP address inventory current and complete</w:t>
            </w:r>
          </w:p>
        </w:tc>
        <w:tc>
          <w:tcPr/>
          <w:p>
            <w:pPr>
              <w:pStyle w:val="Compact"/>
            </w:pPr>
            <w:r>
              <w:t xml:space="preserve">API connectors sync in near-real-time; CM-8 report on demand</w:t>
            </w:r>
          </w:p>
        </w:tc>
        <w:tc>
          <w:tcPr/>
          <w:p>
            <w:pPr>
              <w:pStyle w:val="Compact"/>
            </w:pPr>
            <w:r>
              <w:rPr>
                <w:b/>
                <w:bCs/>
              </w:rPr>
              <w:t xml:space="preserve">Yes</w:t>
            </w:r>
            <w:r>
              <w:t xml:space="preserve"> </w:t>
            </w:r>
            <w:r>
              <w:t xml:space="preserve">— API connectors</w:t>
            </w:r>
          </w:p>
        </w:tc>
      </w:tr>
      <w:tr>
        <w:tc>
          <w:tcPr/>
          <w:p>
            <w:pPr>
              <w:pStyle w:val="Compact"/>
            </w:pPr>
            <w:r>
              <w:t xml:space="preserve">No CIDR overlap between environments</w:t>
            </w:r>
          </w:p>
        </w:tc>
        <w:tc>
          <w:tcPr/>
          <w:p>
            <w:pPr>
              <w:pStyle w:val="Compact"/>
            </w:pPr>
            <w:r>
              <w:t xml:space="preserve">Terraform InfoBlox provider blocks overlapping allocation at request time</w:t>
            </w:r>
          </w:p>
        </w:tc>
        <w:tc>
          <w:tcPr/>
          <w:p>
            <w:pPr>
              <w:pStyle w:val="Compact"/>
            </w:pPr>
            <w:r>
              <w:rPr>
                <w:b/>
                <w:bCs/>
              </w:rPr>
              <w:t xml:space="preserve">Yes</w:t>
            </w:r>
            <w:r>
              <w:t xml:space="preserve"> </w:t>
            </w:r>
            <w:r>
              <w:t xml:space="preserve">— Terraform</w:t>
            </w:r>
          </w:p>
        </w:tc>
      </w:tr>
      <w:tr>
        <w:tc>
          <w:tcPr/>
          <w:p>
            <w:pPr>
              <w:pStyle w:val="Compact"/>
            </w:pPr>
            <w:r>
              <w:t xml:space="preserve">Certificate expiry monitored and auto-renewed</w:t>
            </w:r>
          </w:p>
        </w:tc>
        <w:tc>
          <w:tcPr/>
          <w:p>
            <w:pPr>
              <w:pStyle w:val="Compact"/>
            </w:pPr>
            <w:r>
              <w:t xml:space="preserve">Certificate Tracker 90/30/7-day alerts; SCEP/EST auto-renewal workflow</w:t>
            </w:r>
          </w:p>
        </w:tc>
        <w:tc>
          <w:tcPr/>
          <w:p>
            <w:pPr>
              <w:pStyle w:val="Compact"/>
            </w:pPr>
            <w:r>
              <w:rPr>
                <w:b/>
                <w:bCs/>
              </w:rPr>
              <w:t xml:space="preserve">Yes</w:t>
            </w:r>
            <w:r>
              <w:t xml:space="preserve"> </w:t>
            </w:r>
            <w:r>
              <w:t xml:space="preserve">— Certificate Tracker</w:t>
            </w:r>
          </w:p>
        </w:tc>
      </w:tr>
      <w:tr>
        <w:tc>
          <w:tcPr/>
          <w:p>
            <w:pPr>
              <w:pStyle w:val="Compact"/>
            </w:pPr>
            <w:r>
              <w:t xml:space="preserve">Every workload has machine identity (cert)</w:t>
            </w:r>
          </w:p>
        </w:tc>
        <w:tc>
          <w:tcPr/>
          <w:p>
            <w:pPr>
              <w:pStyle w:val="Compact"/>
            </w:pPr>
            <w:r>
              <w:t xml:space="preserve">SCEP/EST enrollment triggered at IP host record creation</w:t>
            </w:r>
          </w:p>
        </w:tc>
        <w:tc>
          <w:tcPr/>
          <w:p>
            <w:pPr>
              <w:pStyle w:val="Compact"/>
            </w:pPr>
            <w:r>
              <w:rPr>
                <w:b/>
                <w:bCs/>
              </w:rPr>
              <w:t xml:space="preserve">Yes</w:t>
            </w:r>
            <w:r>
              <w:t xml:space="preserve"> </w:t>
            </w:r>
            <w:r>
              <w:t xml:space="preserve">— Auto-enrollment</w:t>
            </w:r>
          </w:p>
        </w:tc>
      </w:tr>
      <w:tr>
        <w:tc>
          <w:tcPr/>
          <w:p>
            <w:pPr>
              <w:pStyle w:val="Compact"/>
            </w:pPr>
            <w:r>
              <w:t xml:space="preserve">DNS change events auditable</w:t>
            </w:r>
          </w:p>
        </w:tc>
        <w:tc>
          <w:tcPr/>
          <w:p>
            <w:pPr>
              <w:pStyle w:val="Compact"/>
            </w:pPr>
            <w:r>
              <w:t xml:space="preserve">All DNS/DHCP/IP changes logged; syslog to SIEM in real time</w:t>
            </w:r>
          </w:p>
        </w:tc>
        <w:tc>
          <w:tcPr/>
          <w:p>
            <w:pPr>
              <w:pStyle w:val="Compact"/>
            </w:pPr>
            <w:r>
              <w:rPr>
                <w:b/>
                <w:bCs/>
              </w:rPr>
              <w:t xml:space="preserve">Yes</w:t>
            </w:r>
            <w:r>
              <w:t xml:space="preserve"> </w:t>
            </w:r>
            <w:r>
              <w:t xml:space="preserve">— Syslog + SIEM</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opt/quarto/share/formats/docx/tip.png" id="11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FedRAMP 20x Positioning:</w:t>
            </w:r>
            <w:r>
              <w:t xml:space="preserve"> </w:t>
            </w:r>
            <w:r>
              <w:t xml:space="preserve">InfoBlox DDI positions SSA ahead of the FedRAMP 20x transition. The machine-readable IP inventory (WAPI), automated KSI enforcement via IaC, and real-time SIEM integration align directly with FedRAMP 20x’s shift from periodic assessment to continuous automated verification.</w:t>
            </w:r>
          </w:p>
          <w:p/>
        </w:tc>
      </w:tr>
    </w:tbl>
    <w:p>
      <w:r>
        <w:pict>
          <v:rect style="width:0;height:1.5pt" o:hralign="center" o:hrstd="t" o:hr="t"/>
        </w:pict>
      </w:r>
    </w:p>
    <w:bookmarkEnd w:id="120"/>
    <w:bookmarkEnd w:id="121"/>
    <w:bookmarkStart w:id="122" w:name="sec-interagency"/>
    <w:p>
      <w:pPr>
        <w:pStyle w:val="Heading2"/>
      </w:pPr>
      <w:r>
        <w:t xml:space="preserve">11 Inter-Agency SaaS Integration: The OPM HRIT Template</w:t>
      </w:r>
    </w:p>
    <w:p>
      <w:pPr>
        <w:pStyle w:val="FirstParagraph"/>
      </w:pPr>
      <w:r>
        <w:t xml:space="preserve">OPM HRIT on OCI is the</w:t>
      </w:r>
      <w:r>
        <w:t xml:space="preserve"> </w:t>
      </w:r>
      <w:r>
        <w:rPr>
          <w:b/>
          <w:bCs/>
        </w:rPr>
        <w:t xml:space="preserve">first of many</w:t>
      </w:r>
      <w:r>
        <w:t xml:space="preserve"> </w:t>
      </w:r>
      <w:r>
        <w:t xml:space="preserve">federal inter-agency SaaS integrations. OPM, SSA, DHS, IRS, and VA are all moving shared services to cloud-hosted SaaS platforms. The pattern repeats every time:</w:t>
      </w:r>
    </w:p>
    <w:p>
      <w:pPr>
        <w:pStyle w:val="Compact"/>
        <w:numPr>
          <w:ilvl w:val="0"/>
          <w:numId w:val="1010"/>
        </w:numPr>
      </w:pPr>
      <w:r>
        <w:t xml:space="preserve">Agency A moves a shared service to cloud SaaS (OPM HRIT → OCI)</w:t>
      </w:r>
    </w:p>
    <w:p>
      <w:pPr>
        <w:pStyle w:val="Compact"/>
        <w:numPr>
          <w:ilvl w:val="0"/>
          <w:numId w:val="1010"/>
        </w:numPr>
      </w:pPr>
      <w:r>
        <w:t xml:space="preserve">Agency B (SSA) becomes an API consumer of that SaaS</w:t>
      </w:r>
    </w:p>
    <w:p>
      <w:pPr>
        <w:pStyle w:val="Compact"/>
        <w:numPr>
          <w:ilvl w:val="0"/>
          <w:numId w:val="1010"/>
        </w:numPr>
      </w:pPr>
      <w:r>
        <w:t xml:space="preserve">Agency B has no visibility into Agency A’s certificate rotation, endpoint changes, or IP range changes</w:t>
      </w:r>
    </w:p>
    <w:p>
      <w:pPr>
        <w:pStyle w:val="Compact"/>
        <w:numPr>
          <w:ilvl w:val="0"/>
          <w:numId w:val="1010"/>
        </w:numPr>
      </w:pPr>
      <w:r>
        <w:t xml:space="preserve">InfoBlox gives Agency B the monitoring layer it needs —</w:t>
      </w:r>
      <w:r>
        <w:t xml:space="preserve"> </w:t>
      </w:r>
      <w:r>
        <w:rPr>
          <w:b/>
          <w:bCs/>
        </w:rPr>
        <w:t xml:space="preserve">from SSA’s side, without requiring access to the partner agency’s cloud</w:t>
      </w:r>
    </w:p>
    <w:p>
      <w:pPr>
        <w:pStyle w:val="FirstParagraph"/>
      </w:pPr>
      <w:r>
        <w:rPr>
          <w:b/>
          <w:bCs/>
        </w:rPr>
        <w:t xml:space="preserve">InfoBlox’s inter-agency integration toolkit:</w:t>
      </w:r>
    </w:p>
    <w:p>
      <w:pPr>
        <w:pStyle w:val="Compact"/>
        <w:numPr>
          <w:ilvl w:val="0"/>
          <w:numId w:val="1011"/>
        </w:numPr>
      </w:pPr>
      <w:r>
        <w:rPr>
          <w:b/>
          <w:bCs/>
        </w:rPr>
        <w:t xml:space="preserve">Conditional DNS forwarders</w:t>
      </w:r>
      <w:r>
        <w:t xml:space="preserve"> </w:t>
      </w:r>
      <w:r>
        <w:t xml:space="preserve">— always know where the service resolves, even when the partner agency changes DNS</w:t>
      </w:r>
    </w:p>
    <w:p>
      <w:pPr>
        <w:pStyle w:val="Compact"/>
        <w:numPr>
          <w:ilvl w:val="0"/>
          <w:numId w:val="1011"/>
        </w:numPr>
      </w:pPr>
      <w:r>
        <w:rPr>
          <w:b/>
          <w:bCs/>
        </w:rPr>
        <w:t xml:space="preserve">Certificate Tracker endpoint polling</w:t>
      </w:r>
      <w:r>
        <w:t xml:space="preserve"> </w:t>
      </w:r>
      <w:r>
        <w:t xml:space="preserve">— always know when the partner’s TLS cert will expire</w:t>
      </w:r>
    </w:p>
    <w:p>
      <w:pPr>
        <w:pStyle w:val="Compact"/>
        <w:numPr>
          <w:ilvl w:val="0"/>
          <w:numId w:val="1011"/>
        </w:numPr>
      </w:pPr>
      <w:r>
        <w:rPr>
          <w:b/>
          <w:bCs/>
        </w:rPr>
        <w:t xml:space="preserve">External host records</w:t>
      </w:r>
      <w:r>
        <w:t xml:space="preserve"> </w:t>
      </w:r>
      <w:r>
        <w:t xml:space="preserve">— always document the partner’s IP ranges for SA-9 without API access to their cloud</w:t>
      </w:r>
    </w:p>
    <w:p>
      <w:pPr>
        <w:pStyle w:val="Compact"/>
        <w:numPr>
          <w:ilvl w:val="0"/>
          <w:numId w:val="1011"/>
        </w:numPr>
      </w:pPr>
      <w:r>
        <w:rPr>
          <w:b/>
          <w:bCs/>
        </w:rPr>
        <w:t xml:space="preserve">RPZ passthrough entries</w:t>
      </w:r>
      <w:r>
        <w:t xml:space="preserve"> </w:t>
      </w:r>
      <w:r>
        <w:t xml:space="preserve">— ensure InfoBlox RPZ does not block the inter-agency API calls</w:t>
      </w:r>
    </w:p>
    <w:p>
      <w:pPr>
        <w:pStyle w:val="Compact"/>
        <w:numPr>
          <w:ilvl w:val="0"/>
          <w:numId w:val="1011"/>
        </w:numPr>
      </w:pPr>
      <w:r>
        <w:rPr>
          <w:b/>
          <w:bCs/>
        </w:rPr>
        <w:t xml:space="preserve">Sentinel alerts</w:t>
      </w:r>
      <w:r>
        <w:t xml:space="preserve"> </w:t>
      </w:r>
      <w:r>
        <w:t xml:space="preserve">— detect if the inter-agency connection’s certificate has changed unexpectedly (potential MITM)</w:t>
      </w:r>
    </w:p>
    <w:p>
      <w:r>
        <w:pict>
          <v:rect style="width:0;height:1.5pt" o:hralign="center" o:hrstd="t" o:hr="t"/>
        </w:pict>
      </w:r>
    </w:p>
    <w:bookmarkEnd w:id="122"/>
    <w:bookmarkStart w:id="123" w:name="sec-summary"/>
    <w:p>
      <w:pPr>
        <w:pStyle w:val="Heading2"/>
      </w:pPr>
      <w:r>
        <w:t xml:space="preserve">12 Architecture Summary</w:t>
      </w:r>
    </w:p>
    <w:p>
      <w:pPr>
        <w:pStyle w:val="TableCaption"/>
      </w:pPr>
      <w:r>
        <w:t xml:space="preserve">Full Landing Zone Architecture Summary</w:t>
      </w:r>
    </w:p>
    <w:tbl>
      <w:tblPr>
        <w:tblStyle w:val="Table"/>
        <w:tblW w:type="pct" w:w="5000"/>
        <w:tblLayout w:type="fixed"/>
        <w:tblLook w:firstRow="1" w:lastRow="0" w:firstColumn="0" w:lastColumn="0" w:noHBand="0" w:noVBand="0" w:val="0020"/>
        <w:tblCaption w:val="Full Landing Zone Architecture Summary"/>
      </w:tblPr>
      <w:tblGrid>
        <w:gridCol w:w="1320"/>
        <w:gridCol w:w="1320"/>
        <w:gridCol w:w="1320"/>
        <w:gridCol w:w="1320"/>
        <w:gridCol w:w="1320"/>
        <w:gridCol w:w="1320"/>
      </w:tblGrid>
      <w:tr>
        <w:trPr>
          <w:tblHeader w:val="on"/>
        </w:trPr>
        <w:tc>
          <w:tcPr/>
          <w:p>
            <w:pPr>
              <w:pStyle w:val="Compact"/>
            </w:pPr>
            <w:r>
              <w:t xml:space="preserve">Layer</w:t>
            </w:r>
          </w:p>
        </w:tc>
        <w:tc>
          <w:tcPr/>
          <w:p>
            <w:pPr>
              <w:pStyle w:val="Compact"/>
            </w:pPr>
            <w:r>
              <w:t xml:space="preserve">On-Premises VMware</w:t>
            </w:r>
          </w:p>
        </w:tc>
        <w:tc>
          <w:tcPr/>
          <w:p>
            <w:pPr>
              <w:pStyle w:val="Compact"/>
            </w:pPr>
            <w:r>
              <w:t xml:space="preserve">Azure Government</w:t>
            </w:r>
          </w:p>
        </w:tc>
        <w:tc>
          <w:tcPr/>
          <w:p>
            <w:pPr>
              <w:pStyle w:val="Compact"/>
            </w:pPr>
            <w:r>
              <w:t xml:space="preserve">AWS GovCloud</w:t>
            </w:r>
          </w:p>
        </w:tc>
        <w:tc>
          <w:tcPr/>
          <w:p>
            <w:pPr>
              <w:pStyle w:val="Compact"/>
            </w:pPr>
            <w:r>
              <w:t xml:space="preserve">Oracle OCI (OPM)</w:t>
            </w:r>
          </w:p>
        </w:tc>
        <w:tc>
          <w:tcPr/>
          <w:p>
            <w:pPr>
              <w:pStyle w:val="Compact"/>
            </w:pPr>
            <w:r>
              <w:t xml:space="preserve">InfoBlox Role</w:t>
            </w:r>
          </w:p>
        </w:tc>
      </w:tr>
      <w:tr>
        <w:tc>
          <w:tcPr/>
          <w:p>
            <w:pPr>
              <w:pStyle w:val="Compact"/>
            </w:pPr>
            <w:r>
              <w:rPr>
                <w:b/>
                <w:bCs/>
              </w:rPr>
              <w:t xml:space="preserve">IP Assignment</w:t>
            </w:r>
          </w:p>
        </w:tc>
        <w:tc>
          <w:tcPr/>
          <w:p>
            <w:pPr>
              <w:pStyle w:val="Compact"/>
            </w:pPr>
            <w:r>
              <w:t xml:space="preserve">NSX-T DHCP Profiles (VCF 9.1)</w:t>
            </w:r>
          </w:p>
        </w:tc>
        <w:tc>
          <w:tcPr/>
          <w:p>
            <w:pPr>
              <w:pStyle w:val="Compact"/>
            </w:pPr>
            <w:r>
              <w:t xml:space="preserve">Azure fabric / ARM API</w:t>
            </w:r>
          </w:p>
        </w:tc>
        <w:tc>
          <w:tcPr/>
          <w:p>
            <w:pPr>
              <w:pStyle w:val="Compact"/>
            </w:pPr>
            <w:r>
              <w:t xml:space="preserve">VPC DHCP Options / Nitro</w:t>
            </w:r>
          </w:p>
        </w:tc>
        <w:tc>
          <w:tcPr/>
          <w:p>
            <w:pPr>
              <w:pStyle w:val="Compact"/>
            </w:pPr>
            <w:r>
              <w:t xml:space="preserve">OCI VNIC / 169.254.169.254</w:t>
            </w:r>
          </w:p>
        </w:tc>
        <w:tc>
          <w:tcPr/>
          <w:p>
            <w:pPr>
              <w:pStyle w:val="Compact"/>
            </w:pPr>
            <w:r>
              <w:t xml:space="preserve">IPAM SSOT via connectors</w:t>
            </w:r>
          </w:p>
        </w:tc>
      </w:tr>
      <w:tr>
        <w:tc>
          <w:tcPr/>
          <w:p>
            <w:pPr>
              <w:pStyle w:val="Compact"/>
            </w:pPr>
            <w:r>
              <w:rPr>
                <w:b/>
                <w:bCs/>
              </w:rPr>
              <w:t xml:space="preserve">DNS Resolver</w:t>
            </w:r>
          </w:p>
        </w:tc>
        <w:tc>
          <w:tcPr/>
          <w:p>
            <w:pPr>
              <w:pStyle w:val="Compact"/>
            </w:pPr>
            <w:r>
              <w:t xml:space="preserve">Grid Member (replaces AD DNS)</w:t>
            </w:r>
          </w:p>
        </w:tc>
        <w:tc>
          <w:tcPr/>
          <w:p>
            <w:pPr>
              <w:pStyle w:val="Compact"/>
            </w:pPr>
            <w:r>
              <w:t xml:space="preserve">Azure DNS Private Resolver → Grid</w:t>
            </w:r>
          </w:p>
        </w:tc>
        <w:tc>
          <w:tcPr/>
          <w:p>
            <w:pPr>
              <w:pStyle w:val="Compact"/>
            </w:pPr>
            <w:r>
              <w:t xml:space="preserve">VPC DHCP Options → Grid</w:t>
            </w:r>
          </w:p>
        </w:tc>
        <w:tc>
          <w:tcPr/>
          <w:p>
            <w:pPr>
              <w:pStyle w:val="Compact"/>
            </w:pPr>
            <w:r>
              <w:t xml:space="preserve">OCI resolver → Grid forwarder</w:t>
            </w:r>
          </w:p>
        </w:tc>
        <w:tc>
          <w:tcPr/>
          <w:p>
            <w:pPr>
              <w:pStyle w:val="Compact"/>
            </w:pPr>
            <w:r>
              <w:t xml:space="preserve">Unified recursive + DNSSEC</w:t>
            </w:r>
          </w:p>
        </w:tc>
      </w:tr>
      <w:tr>
        <w:tc>
          <w:tcPr/>
          <w:p>
            <w:pPr>
              <w:pStyle w:val="Compact"/>
            </w:pPr>
            <w:r>
              <w:rPr>
                <w:b/>
                <w:bCs/>
              </w:rPr>
              <w:t xml:space="preserve">DNS Authority</w:t>
            </w:r>
          </w:p>
        </w:tc>
        <w:tc>
          <w:tcPr/>
          <w:p>
            <w:pPr>
              <w:pStyle w:val="Compact"/>
            </w:pPr>
            <w:r>
              <w:t xml:space="preserve">Grid Master (agency.gov)</w:t>
            </w:r>
          </w:p>
        </w:tc>
        <w:tc>
          <w:tcPr/>
          <w:p>
            <w:pPr>
              <w:pStyle w:val="Compact"/>
            </w:pPr>
            <w:r>
              <w:t xml:space="preserve">Grid Member + Azure Private DNS</w:t>
            </w:r>
          </w:p>
        </w:tc>
        <w:tc>
          <w:tcPr/>
          <w:p>
            <w:pPr>
              <w:pStyle w:val="Compact"/>
            </w:pPr>
            <w:r>
              <w:t xml:space="preserve">Grid Member + Route 53 private</w:t>
            </w:r>
          </w:p>
        </w:tc>
        <w:tc>
          <w:tcPr/>
          <w:p>
            <w:pPr>
              <w:pStyle w:val="Compact"/>
            </w:pPr>
            <w:r>
              <w:t xml:space="preserve">Grid forwarder + OCI DNS</w:t>
            </w:r>
          </w:p>
        </w:tc>
        <w:tc>
          <w:tcPr/>
          <w:p>
            <w:pPr>
              <w:pStyle w:val="Compact"/>
            </w:pPr>
            <w:r>
              <w:t xml:space="preserve">Grid Master as SSOT</w:t>
            </w:r>
          </w:p>
        </w:tc>
      </w:tr>
      <w:tr>
        <w:tc>
          <w:tcPr/>
          <w:p>
            <w:pPr>
              <w:pStyle w:val="Compact"/>
            </w:pPr>
            <w:r>
              <w:rPr>
                <w:b/>
                <w:bCs/>
              </w:rPr>
              <w:t xml:space="preserve">DHCP</w:t>
            </w:r>
          </w:p>
        </w:tc>
        <w:tc>
          <w:tcPr/>
          <w:p>
            <w:pPr>
              <w:pStyle w:val="Compact"/>
            </w:pPr>
            <w:r>
              <w:t xml:space="preserve">InfoBlox Grid DHCP (HA pair)</w:t>
            </w:r>
          </w:p>
        </w:tc>
        <w:tc>
          <w:tcPr/>
          <w:p>
            <w:pPr>
              <w:pStyle w:val="Compact"/>
            </w:pPr>
            <w:r>
              <w:t xml:space="preserve">Azure fabric (no Grid DHCP)</w:t>
            </w:r>
          </w:p>
        </w:tc>
        <w:tc>
          <w:tcPr/>
          <w:p>
            <w:pPr>
              <w:pStyle w:val="Compact"/>
            </w:pPr>
            <w:r>
              <w:t xml:space="preserve">AWS VPC DHCP</w:t>
            </w:r>
          </w:p>
        </w:tc>
        <w:tc>
          <w:tcPr/>
          <w:p>
            <w:pPr>
              <w:pStyle w:val="Compact"/>
            </w:pPr>
            <w:r>
              <w:t xml:space="preserve">OCI DHCP</w:t>
            </w:r>
          </w:p>
        </w:tc>
        <w:tc>
          <w:tcPr/>
          <w:p>
            <w:pPr>
              <w:pStyle w:val="Compact"/>
            </w:pPr>
            <w:r>
              <w:t xml:space="preserve">On-prem native; cloud via API</w:t>
            </w:r>
          </w:p>
        </w:tc>
      </w:tr>
      <w:tr>
        <w:tc>
          <w:tcPr/>
          <w:p>
            <w:pPr>
              <w:pStyle w:val="Compact"/>
            </w:pPr>
            <w:r>
              <w:rPr>
                <w:b/>
                <w:bCs/>
              </w:rPr>
              <w:t xml:space="preserve">IPAM</w:t>
            </w:r>
          </w:p>
        </w:tc>
        <w:tc>
          <w:tcPr/>
          <w:p>
            <w:pPr>
              <w:pStyle w:val="Compact"/>
            </w:pPr>
            <w:r>
              <w:t xml:space="preserve">On-Premises Network View</w:t>
            </w:r>
          </w:p>
        </w:tc>
        <w:tc>
          <w:tcPr/>
          <w:p>
            <w:pPr>
              <w:pStyle w:val="Compact"/>
            </w:pPr>
            <w:r>
              <w:t xml:space="preserve">Azure-GCC Network View</w:t>
            </w:r>
          </w:p>
        </w:tc>
        <w:tc>
          <w:tcPr/>
          <w:p>
            <w:pPr>
              <w:pStyle w:val="Compact"/>
            </w:pPr>
            <w:r>
              <w:t xml:space="preserve">AWS-GovCloud Network View</w:t>
            </w:r>
          </w:p>
        </w:tc>
        <w:tc>
          <w:tcPr/>
          <w:p>
            <w:pPr>
              <w:pStyle w:val="Compact"/>
            </w:pPr>
            <w:r>
              <w:t xml:space="preserve">OCI-OPM Network View (RO)</w:t>
            </w:r>
          </w:p>
        </w:tc>
        <w:tc>
          <w:tcPr/>
          <w:p>
            <w:pPr>
              <w:pStyle w:val="Compact"/>
            </w:pPr>
            <w:r>
              <w:t xml:space="preserve">Single DB, 4 Network Views</w:t>
            </w:r>
          </w:p>
        </w:tc>
      </w:tr>
      <w:tr>
        <w:tc>
          <w:tcPr/>
          <w:p>
            <w:pPr>
              <w:pStyle w:val="Compact"/>
            </w:pPr>
            <w:r>
              <w:rPr>
                <w:b/>
                <w:bCs/>
              </w:rPr>
              <w:t xml:space="preserve">Certificates</w:t>
            </w:r>
          </w:p>
        </w:tc>
        <w:tc>
          <w:tcPr/>
          <w:p>
            <w:pPr>
              <w:pStyle w:val="Compact"/>
            </w:pPr>
            <w:r>
              <w:t xml:space="preserve">ADCS via SCEP/EST</w:t>
            </w:r>
          </w:p>
        </w:tc>
        <w:tc>
          <w:tcPr/>
          <w:p>
            <w:pPr>
              <w:pStyle w:val="Compact"/>
            </w:pPr>
            <w:r>
              <w:t xml:space="preserve">Azure Key Vault; ARM API polling</w:t>
            </w:r>
          </w:p>
        </w:tc>
        <w:tc>
          <w:tcPr/>
          <w:p>
            <w:pPr>
              <w:pStyle w:val="Compact"/>
            </w:pPr>
            <w:r>
              <w:t xml:space="preserve">ACM Private CA; validation CNAMEs</w:t>
            </w:r>
          </w:p>
        </w:tc>
        <w:tc>
          <w:tcPr/>
          <w:p>
            <w:pPr>
              <w:pStyle w:val="Compact"/>
            </w:pPr>
            <w:r>
              <w:t xml:space="preserve">OCI Certs (OPM); cert polling</w:t>
            </w:r>
          </w:p>
        </w:tc>
        <w:tc>
          <w:tcPr/>
          <w:p>
            <w:pPr>
              <w:pStyle w:val="Compact"/>
            </w:pPr>
            <w:r>
              <w:t xml:space="preserve">Certificate Tracker</w:t>
            </w:r>
          </w:p>
        </w:tc>
      </w:tr>
      <w:tr>
        <w:tc>
          <w:tcPr/>
          <w:p>
            <w:pPr>
              <w:pStyle w:val="Compact"/>
            </w:pPr>
            <w:r>
              <w:rPr>
                <w:b/>
                <w:bCs/>
              </w:rPr>
              <w:t xml:space="preserve">Threat / RPZ</w:t>
            </w:r>
          </w:p>
        </w:tc>
        <w:tc>
          <w:tcPr/>
          <w:p>
            <w:pPr>
              <w:pStyle w:val="Compact"/>
            </w:pPr>
            <w:r>
              <w:t xml:space="preserve">RPZ on Grid Members; TIDE + CISA</w:t>
            </w:r>
          </w:p>
        </w:tc>
        <w:tc>
          <w:tcPr/>
          <w:p>
            <w:pPr>
              <w:pStyle w:val="Compact"/>
            </w:pPr>
            <w:r>
              <w:t xml:space="preserve">RPZ on Azure Grid Member</w:t>
            </w:r>
          </w:p>
        </w:tc>
        <w:tc>
          <w:tcPr/>
          <w:p>
            <w:pPr>
              <w:pStyle w:val="Compact"/>
            </w:pPr>
            <w:r>
              <w:t xml:space="preserve">RPZ on AWS Grid Member</w:t>
            </w:r>
          </w:p>
        </w:tc>
        <w:tc>
          <w:tcPr/>
          <w:p>
            <w:pPr>
              <w:pStyle w:val="Compact"/>
            </w:pPr>
            <w:r>
              <w:t xml:space="preserve">Grid forwarder RPZ</w:t>
            </w:r>
          </w:p>
        </w:tc>
        <w:tc>
          <w:tcPr/>
          <w:p>
            <w:pPr>
              <w:pStyle w:val="Compact"/>
            </w:pPr>
            <w:r>
              <w:t xml:space="preserve">Single policy, all environments</w:t>
            </w:r>
          </w:p>
        </w:tc>
      </w:tr>
      <w:tr>
        <w:tc>
          <w:tcPr/>
          <w:p>
            <w:pPr>
              <w:pStyle w:val="Compact"/>
            </w:pPr>
            <w:r>
              <w:rPr>
                <w:b/>
                <w:bCs/>
              </w:rPr>
              <w:t xml:space="preserve">Audit / SIEM</w:t>
            </w:r>
          </w:p>
        </w:tc>
        <w:tc>
          <w:tcPr/>
          <w:p>
            <w:pPr>
              <w:pStyle w:val="Compact"/>
            </w:pPr>
            <w:r>
              <w:t xml:space="preserve">Syslog from Grid Members</w:t>
            </w:r>
          </w:p>
        </w:tc>
        <w:tc>
          <w:tcPr/>
          <w:p>
            <w:pPr>
              <w:pStyle w:val="Compact"/>
            </w:pPr>
            <w:r>
              <w:t xml:space="preserve">Syslog from Azure Grid Member</w:t>
            </w:r>
          </w:p>
        </w:tc>
        <w:tc>
          <w:tcPr/>
          <w:p>
            <w:pPr>
              <w:pStyle w:val="Compact"/>
            </w:pPr>
            <w:r>
              <w:t xml:space="preserve">Syslog from AWS Grid Member</w:t>
            </w:r>
          </w:p>
        </w:tc>
        <w:tc>
          <w:tcPr/>
          <w:p>
            <w:pPr>
              <w:pStyle w:val="Compact"/>
            </w:pPr>
            <w:r>
              <w:t xml:space="preserve">Syslog from Grid forwarder</w:t>
            </w:r>
          </w:p>
        </w:tc>
        <w:tc>
          <w:tcPr/>
          <w:p>
            <w:pPr>
              <w:pStyle w:val="Compact"/>
            </w:pPr>
            <w:r>
              <w:t xml:space="preserve">One syslog stream</w:t>
            </w:r>
          </w:p>
        </w:tc>
      </w:tr>
      <w:tr>
        <w:tc>
          <w:tcPr/>
          <w:p>
            <w:pPr>
              <w:pStyle w:val="Compact"/>
            </w:pPr>
            <w:r>
              <w:rPr>
                <w:b/>
                <w:bCs/>
              </w:rPr>
              <w:t xml:space="preserve">FedRAMP Controls</w:t>
            </w:r>
          </w:p>
        </w:tc>
        <w:tc>
          <w:tcPr/>
          <w:p>
            <w:pPr>
              <w:pStyle w:val="Compact"/>
            </w:pPr>
            <w:r>
              <w:t xml:space="preserve">SC-20/21, CM-8, AU-12, IR-4</w:t>
            </w:r>
          </w:p>
        </w:tc>
        <w:tc>
          <w:tcPr/>
          <w:p>
            <w:pPr>
              <w:pStyle w:val="Compact"/>
            </w:pPr>
            <w:r>
              <w:t xml:space="preserve">SC-20/21, SA-9, IA-5(2), CM-8</w:t>
            </w:r>
          </w:p>
        </w:tc>
        <w:tc>
          <w:tcPr/>
          <w:p>
            <w:pPr>
              <w:pStyle w:val="Compact"/>
            </w:pPr>
            <w:r>
              <w:t xml:space="preserve">SC-20/21, SA-9, IA-5(2), CM-8</w:t>
            </w:r>
          </w:p>
        </w:tc>
        <w:tc>
          <w:tcPr/>
          <w:p>
            <w:pPr>
              <w:pStyle w:val="Compact"/>
            </w:pPr>
            <w:r>
              <w:t xml:space="preserve">SA-9, IA-5(2)</w:t>
            </w:r>
          </w:p>
        </w:tc>
        <w:tc>
          <w:tcPr/>
          <w:p>
            <w:pPr>
              <w:pStyle w:val="Compact"/>
            </w:pPr>
            <w:r>
              <w:t xml:space="preserve">Single evidence source</w:t>
            </w:r>
          </w:p>
        </w:tc>
      </w:tr>
    </w:tbl>
    <w:p>
      <w:r>
        <w:pict>
          <v:rect style="width:0;height:1.5pt" o:hralign="center" o:hrstd="t" o:hr="t"/>
        </w:pict>
      </w:r>
    </w:p>
    <w:bookmarkEnd w:id="123"/>
    <w:bookmarkStart w:id="134" w:name="sec-roadmap"/>
    <w:p>
      <w:pPr>
        <w:pStyle w:val="Heading2"/>
      </w:pPr>
      <w:r>
        <w:t xml:space="preserve">13 Recommended Buildout Roadmap</w:t>
      </w:r>
    </w:p>
    <w:p>
      <w:pPr>
        <w:pStyle w:val="FirstParagraph"/>
      </w:pPr>
      <w:r>
        <w:t xml:space="preserve">Each phase produces immediately usable compliance evidence and security value — there is no</w:t>
      </w:r>
      <w:r>
        <w:t xml:space="preserve"> </w:t>
      </w:r>
      <w:r>
        <w:t xml:space="preserve">‘big bang’</w:t>
      </w:r>
      <w:r>
        <w:t xml:space="preserve"> </w:t>
      </w:r>
      <w:r>
        <w:t xml:space="preserve">dependency before the first phase delivers results.</w:t>
      </w:r>
    </w:p>
    <w:p>
      <w:pPr>
        <w:pStyle w:val="CaptionedFigure"/>
      </w:pPr>
      <w:r>
        <w:drawing>
          <wp:inline>
            <wp:extent cx="5334000" cy="3526366"/>
            <wp:effectExtent b="0" l="0" r="0" t="0"/>
            <wp:docPr descr="InfoBlox DDI Landing Zone — Six-Phase Buildout Roadmap" title="" id="125" name="Picture"/>
            <a:graphic>
              <a:graphicData uri="http://schemas.openxmlformats.org/drawingml/2006/picture">
                <pic:pic>
                  <pic:nvPicPr>
                    <pic:cNvPr descr="figs/lz-fig-14-roadmap.png" id="126" name="Picture"/>
                    <pic:cNvPicPr>
                      <a:picLocks noChangeArrowheads="1" noChangeAspect="1"/>
                    </pic:cNvPicPr>
                  </pic:nvPicPr>
                  <pic:blipFill>
                    <a:blip r:embed="rId124"/>
                    <a:stretch>
                      <a:fillRect/>
                    </a:stretch>
                  </pic:blipFill>
                  <pic:spPr bwMode="auto">
                    <a:xfrm>
                      <a:off x="0" y="0"/>
                      <a:ext cx="5334000" cy="3526366"/>
                    </a:xfrm>
                    <a:prstGeom prst="rect">
                      <a:avLst/>
                    </a:prstGeom>
                    <a:noFill/>
                    <a:ln w="9525">
                      <a:noFill/>
                      <a:headEnd/>
                      <a:tailEnd/>
                    </a:ln>
                  </pic:spPr>
                </pic:pic>
              </a:graphicData>
            </a:graphic>
          </wp:inline>
        </w:drawing>
      </w:r>
    </w:p>
    <w:p>
      <w:pPr>
        <w:pStyle w:val="ImageCaption"/>
      </w:pPr>
      <w:r>
        <w:t xml:space="preserve">InfoBlox DDI Landing Zone — Six-Phase Buildout Roadmap</w:t>
      </w:r>
    </w:p>
    <w:bookmarkStart w:id="127" w:name="X6998601d02e0784d9756e9b3df61efe56f843a2"/>
    <w:p>
      <w:pPr>
        <w:pStyle w:val="Heading3"/>
      </w:pPr>
      <w:r>
        <w:t xml:space="preserve">Phase 0 — Procurement and Architecture (Month 1)</w:t>
      </w:r>
    </w:p>
    <w:p>
      <w:pPr>
        <w:pStyle w:val="Compact"/>
        <w:numPr>
          <w:ilvl w:val="0"/>
          <w:numId w:val="1012"/>
        </w:numPr>
      </w:pPr>
      <w:r>
        <w:t xml:space="preserve">Procure InfoBlox BloxOne DDI Federal via</w:t>
      </w:r>
      <w:r>
        <w:t xml:space="preserve"> </w:t>
      </w:r>
      <w:r>
        <w:rPr>
          <w:b/>
          <w:bCs/>
        </w:rPr>
        <w:t xml:space="preserve">AWS GovCloud Marketplace</w:t>
      </w:r>
      <w:r>
        <w:t xml:space="preserve"> </w:t>
      </w:r>
      <w:r>
        <w:t xml:space="preserve">against existing EA (no new IDIQ)</w:t>
      </w:r>
    </w:p>
    <w:p>
      <w:pPr>
        <w:pStyle w:val="Compact"/>
        <w:numPr>
          <w:ilvl w:val="0"/>
          <w:numId w:val="1012"/>
        </w:numPr>
      </w:pPr>
      <w:r>
        <w:t xml:space="preserve">Reference FedRAMP Marketplace CSO</w:t>
      </w:r>
      <w:r>
        <w:t xml:space="preserve"> </w:t>
      </w:r>
      <w:r>
        <w:rPr>
          <w:b/>
          <w:bCs/>
        </w:rPr>
        <w:t xml:space="preserve">FR2017257053</w:t>
      </w:r>
      <w:r>
        <w:t xml:space="preserve"> </w:t>
      </w:r>
      <w:r>
        <w:t xml:space="preserve">in procurement documentation</w:t>
      </w:r>
    </w:p>
    <w:p>
      <w:pPr>
        <w:pStyle w:val="Compact"/>
        <w:numPr>
          <w:ilvl w:val="0"/>
          <w:numId w:val="1012"/>
        </w:numPr>
      </w:pPr>
      <w:r>
        <w:t xml:space="preserve">Design Network View CIDR allocation plan: audit all existing IP ranges across on-prem, Azure VNet, AWS VPC, OCI VCN for overlaps</w:t>
      </w:r>
    </w:p>
    <w:p>
      <w:pPr>
        <w:pStyle w:val="Compact"/>
        <w:numPr>
          <w:ilvl w:val="0"/>
          <w:numId w:val="1012"/>
        </w:numPr>
      </w:pPr>
      <w:r>
        <w:t xml:space="preserve">Engage InfoBlox Professional Services for VCF 9.1 DDI integration workshop</w:t>
      </w:r>
    </w:p>
    <w:bookmarkEnd w:id="127"/>
    <w:bookmarkStart w:id="128" w:name="phase-1-on-premises-foundation-months-13"/>
    <w:p>
      <w:pPr>
        <w:pStyle w:val="Heading3"/>
      </w:pPr>
      <w:r>
        <w:t xml:space="preserve">Phase 1 — On-Premises Foundation (Months 1–3)</w:t>
      </w:r>
    </w:p>
    <w:p>
      <w:pPr>
        <w:pStyle w:val="Compact"/>
        <w:numPr>
          <w:ilvl w:val="0"/>
          <w:numId w:val="1013"/>
        </w:numPr>
      </w:pPr>
      <w:r>
        <w:t xml:space="preserve">Deploy Grid Master HA pair; import all AD DNS zones; enable DNSSEC for agency.gov</w:t>
      </w:r>
    </w:p>
    <w:p>
      <w:pPr>
        <w:pStyle w:val="Compact"/>
        <w:numPr>
          <w:ilvl w:val="0"/>
          <w:numId w:val="1013"/>
        </w:numPr>
      </w:pPr>
      <w:r>
        <w:t xml:space="preserve">Submit DS record to .gov TLD registrar (closes SC-20 gap)</w:t>
      </w:r>
    </w:p>
    <w:p>
      <w:pPr>
        <w:pStyle w:val="Compact"/>
        <w:numPr>
          <w:ilvl w:val="0"/>
          <w:numId w:val="1013"/>
        </w:numPr>
      </w:pPr>
      <w:r>
        <w:t xml:space="preserve">Migrate Windows Server DHCP scopes to InfoBlox Grid DHCP; enable DHCP fingerprinting (the device-identity feed that</w:t>
      </w:r>
      <w:r>
        <w:t xml:space="preserve"> </w:t>
      </w:r>
      <w:hyperlink r:id="rId115">
        <w:r>
          <w:rPr>
            <w:rStyle w:val="Hyperlink"/>
          </w:rPr>
          <w:t xml:space="preserve">Book 02</w:t>
        </w:r>
      </w:hyperlink>
      <w:r>
        <w:t xml:space="preserve"> </w:t>
      </w:r>
      <w:r>
        <w:t xml:space="preserve">builds the NAC device inventory on)</w:t>
      </w:r>
    </w:p>
    <w:p>
      <w:pPr>
        <w:pStyle w:val="Compact"/>
        <w:numPr>
          <w:ilvl w:val="0"/>
          <w:numId w:val="1013"/>
        </w:numPr>
      </w:pPr>
      <w:r>
        <w:t xml:space="preserve">Configure syslog forwarding from all Grid Members to SIEM (Splunk/Sentinel); verify AU-12 event receipt</w:t>
      </w:r>
    </w:p>
    <w:p>
      <w:pPr>
        <w:pStyle w:val="Compact"/>
        <w:numPr>
          <w:ilvl w:val="0"/>
          <w:numId w:val="1013"/>
        </w:numPr>
      </w:pPr>
      <w:r>
        <w:t xml:space="preserve">Deploy SCEP connector to ADCS; test automated cert enrollment from new IP host record</w:t>
      </w:r>
    </w:p>
    <w:p>
      <w:pPr>
        <w:pStyle w:val="Compact"/>
        <w:numPr>
          <w:ilvl w:val="0"/>
          <w:numId w:val="1013"/>
        </w:numPr>
      </w:pPr>
      <w:r>
        <w:t xml:space="preserve">Generate first CM-8 IP inventory export; reconcile against existing CMDB</w:t>
      </w:r>
    </w:p>
    <w:bookmarkEnd w:id="128"/>
    <w:bookmarkStart w:id="129" w:name="Xc4c0bc48ec731a428e8eb5363949c17466fc71f"/>
    <w:p>
      <w:pPr>
        <w:pStyle w:val="Heading3"/>
      </w:pPr>
      <w:r>
        <w:t xml:space="preserve">Phase 2 — VMware VCF 9.1 Integration (Months 2–4)</w:t>
      </w:r>
    </w:p>
    <w:p>
      <w:pPr>
        <w:pStyle w:val="Compact"/>
        <w:numPr>
          <w:ilvl w:val="0"/>
          <w:numId w:val="1014"/>
        </w:numPr>
      </w:pPr>
      <w:r>
        <w:t xml:space="preserve">Update VCF to 9.1; configure VCF-A to use InfoBlox WAPI as external IPAM backend</w:t>
      </w:r>
    </w:p>
    <w:p>
      <w:pPr>
        <w:pStyle w:val="Compact"/>
        <w:numPr>
          <w:ilvl w:val="0"/>
          <w:numId w:val="1014"/>
        </w:numPr>
      </w:pPr>
      <w:r>
        <w:t xml:space="preserve">Update NSX-T DHCP Server Profiles to route DNS to InfoBlox Grid Member IP</w:t>
      </w:r>
    </w:p>
    <w:p>
      <w:pPr>
        <w:pStyle w:val="Compact"/>
        <w:numPr>
          <w:ilvl w:val="0"/>
          <w:numId w:val="1014"/>
        </w:numPr>
      </w:pPr>
      <w:r>
        <w:t xml:space="preserve">Verify NSX-T VM IP assignments appear in InfoBlox On-Premises Network View within 60 seconds</w:t>
      </w:r>
    </w:p>
    <w:bookmarkEnd w:id="129"/>
    <w:bookmarkStart w:id="130" w:name="X77a697cf21d0ca41f2584ad67baf5270bd4b388"/>
    <w:p>
      <w:pPr>
        <w:pStyle w:val="Heading3"/>
      </w:pPr>
      <w:r>
        <w:t xml:space="preserve">Phase 3 — Azure Government Integration (Months 3–5)</w:t>
      </w:r>
    </w:p>
    <w:p>
      <w:pPr>
        <w:pStyle w:val="Compact"/>
        <w:numPr>
          <w:ilvl w:val="0"/>
          <w:numId w:val="1015"/>
        </w:numPr>
      </w:pPr>
      <w:r>
        <w:t xml:space="preserve">Deploy InfoBlox Grid Member as Azure VM in Hub VNet; configure Azure DNS Private Resolver to forward to Grid Member</w:t>
      </w:r>
    </w:p>
    <w:p>
      <w:pPr>
        <w:pStyle w:val="Compact"/>
        <w:numPr>
          <w:ilvl w:val="0"/>
          <w:numId w:val="1015"/>
        </w:numPr>
      </w:pPr>
      <w:r>
        <w:t xml:space="preserve">Register all Azure VNet/subnet CIDRs in InfoBlox Azure-GCC Network View; enable Azure connector</w:t>
      </w:r>
    </w:p>
    <w:p>
      <w:pPr>
        <w:pStyle w:val="Compact"/>
        <w:numPr>
          <w:ilvl w:val="0"/>
          <w:numId w:val="1015"/>
        </w:numPr>
      </w:pPr>
      <w:r>
        <w:t xml:space="preserve">Configure Azure Key Vault Certificate Manager polling in InfoBlox Certificate Tracker</w:t>
      </w:r>
    </w:p>
    <w:p>
      <w:pPr>
        <w:pStyle w:val="Compact"/>
        <w:numPr>
          <w:ilvl w:val="0"/>
          <w:numId w:val="1015"/>
        </w:numPr>
      </w:pPr>
      <w:r>
        <w:t xml:space="preserve">Configure M365 GCC endpoint API polling; test RPZ passthrough and commercial M365 RPZ block</w:t>
      </w:r>
    </w:p>
    <w:bookmarkEnd w:id="130"/>
    <w:bookmarkStart w:id="131" w:name="Xa43eec936343295a8326917a9cf352928776252"/>
    <w:p>
      <w:pPr>
        <w:pStyle w:val="Heading3"/>
      </w:pPr>
      <w:r>
        <w:t xml:space="preserve">Phase 4 — AWS GovCloud Integration (Months 5–7)</w:t>
      </w:r>
    </w:p>
    <w:p>
      <w:pPr>
        <w:pStyle w:val="Compact"/>
        <w:numPr>
          <w:ilvl w:val="0"/>
          <w:numId w:val="1016"/>
        </w:numPr>
      </w:pPr>
      <w:r>
        <w:t xml:space="preserve">Deploy InfoBlox Grid Member as EC2 instance in Transit VPC</w:t>
      </w:r>
    </w:p>
    <w:p>
      <w:pPr>
        <w:pStyle w:val="Compact"/>
        <w:numPr>
          <w:ilvl w:val="0"/>
          <w:numId w:val="1016"/>
        </w:numPr>
      </w:pPr>
      <w:r>
        <w:t xml:space="preserve">Update VPC DHCP Options Sets to use Grid Member IP as domain-name-server</w:t>
      </w:r>
    </w:p>
    <w:p>
      <w:pPr>
        <w:pStyle w:val="Compact"/>
        <w:numPr>
          <w:ilvl w:val="0"/>
          <w:numId w:val="1016"/>
        </w:numPr>
      </w:pPr>
      <w:r>
        <w:t xml:space="preserve">Enable InfoBlox AWS connector; register all VPC CIDR allocations in AWS-GovCloud Network View</w:t>
      </w:r>
    </w:p>
    <w:p>
      <w:pPr>
        <w:pStyle w:val="Compact"/>
        <w:numPr>
          <w:ilvl w:val="0"/>
          <w:numId w:val="1016"/>
        </w:numPr>
      </w:pPr>
      <w:r>
        <w:t xml:space="preserve">Configure ACM DNS validation CNAME automation; test certificate issuance for an internal ALB</w:t>
      </w:r>
    </w:p>
    <w:p>
      <w:pPr>
        <w:pStyle w:val="Compact"/>
        <w:numPr>
          <w:ilvl w:val="0"/>
          <w:numId w:val="1016"/>
        </w:numPr>
      </w:pPr>
      <w:r>
        <w:t xml:space="preserve">Integrate InfoBlox RPZ events with AWS Security Hub findings</w:t>
      </w:r>
    </w:p>
    <w:bookmarkEnd w:id="131"/>
    <w:bookmarkStart w:id="132" w:name="Xca1eadb88ebaa0b3ed62b98ccc9ae1a6edf20c4"/>
    <w:p>
      <w:pPr>
        <w:pStyle w:val="Heading3"/>
      </w:pPr>
      <w:r>
        <w:t xml:space="preserve">Phase 5 — OCI OPM HRIT Integration (Months 7–9)</w:t>
      </w:r>
    </w:p>
    <w:p>
      <w:pPr>
        <w:pStyle w:val="Compact"/>
        <w:numPr>
          <w:ilvl w:val="0"/>
          <w:numId w:val="1017"/>
        </w:numPr>
      </w:pPr>
      <w:r>
        <w:t xml:space="preserve">Import all known OPM HRIT service endpoint IPs and FQDNs as external host records</w:t>
      </w:r>
    </w:p>
    <w:p>
      <w:pPr>
        <w:pStyle w:val="Compact"/>
        <w:numPr>
          <w:ilvl w:val="0"/>
          <w:numId w:val="1017"/>
        </w:numPr>
      </w:pPr>
      <w:r>
        <w:t xml:space="preserve">Configure InfoBlox conditional forwarder for OPM HRIT FQDNs through FastConnect path</w:t>
      </w:r>
    </w:p>
    <w:p>
      <w:pPr>
        <w:pStyle w:val="Compact"/>
        <w:numPr>
          <w:ilvl w:val="0"/>
          <w:numId w:val="1017"/>
        </w:numPr>
      </w:pPr>
      <w:r>
        <w:t xml:space="preserve">Connect InfoBlox Certificate Tracker to OPM HRIT HTTPS endpoints; verify 90-day cert expiry alert fires</w:t>
      </w:r>
    </w:p>
    <w:p>
      <w:pPr>
        <w:pStyle w:val="Compact"/>
        <w:numPr>
          <w:ilvl w:val="0"/>
          <w:numId w:val="1017"/>
        </w:numPr>
      </w:pPr>
      <w:r>
        <w:t xml:space="preserve">Document OCI integration in SSP SA-9 external services table with OPM as system owner</w:t>
      </w:r>
    </w:p>
    <w:bookmarkEnd w:id="132"/>
    <w:bookmarkStart w:id="133" w:name="X6450109d4d09342385afb6f44eead155ff42378"/>
    <w:p>
      <w:pPr>
        <w:pStyle w:val="Heading3"/>
      </w:pPr>
      <w:r>
        <w:t xml:space="preserve">Phase 6 — FedRAMP Continuous Monitoring (Months 9–12)</w:t>
      </w:r>
    </w:p>
    <w:p>
      <w:pPr>
        <w:pStyle w:val="Compact"/>
        <w:numPr>
          <w:ilvl w:val="0"/>
          <w:numId w:val="1018"/>
        </w:numPr>
      </w:pPr>
      <w:r>
        <w:t xml:space="preserve">Complete InfoBlox FedRAMP ATO documentation in SSP; reference CSO FR2017257053 for DDI layer control inheritance</w:t>
      </w:r>
    </w:p>
    <w:p>
      <w:pPr>
        <w:pStyle w:val="Compact"/>
        <w:numPr>
          <w:ilvl w:val="0"/>
          <w:numId w:val="1018"/>
        </w:numPr>
      </w:pPr>
      <w:r>
        <w:t xml:space="preserve">Configure all eight FedRAMP control evidence exports as scheduled reports</w:t>
      </w:r>
    </w:p>
    <w:p>
      <w:pPr>
        <w:pStyle w:val="Compact"/>
        <w:numPr>
          <w:ilvl w:val="0"/>
          <w:numId w:val="1018"/>
        </w:numPr>
      </w:pPr>
      <w:r>
        <w:t xml:space="preserve">Implement IaC Terraform pipeline: IP allocation → DNS record → SCEP cert enrollment as single atomic pipeline</w:t>
      </w:r>
    </w:p>
    <w:p>
      <w:pPr>
        <w:pStyle w:val="Compact"/>
        <w:numPr>
          <w:ilvl w:val="0"/>
          <w:numId w:val="1018"/>
        </w:numPr>
      </w:pPr>
      <w:r>
        <w:t xml:space="preserve">Configure FedRAMP 20x KSI automation checks (DNSSEC status, RPZ coverage, cert expiry, CIDR conflict) as CI/CD pipeline tests</w:t>
      </w:r>
    </w:p>
    <w:p>
      <w:r>
        <w:pict>
          <v:rect style="width:0;height:1.5pt" o:hralign="center" o:hrstd="t" o:hr="t"/>
        </w:pict>
      </w:r>
    </w:p>
    <w:bookmarkEnd w:id="133"/>
    <w:bookmarkEnd w:id="134"/>
    <w:bookmarkStart w:id="147" w:name="references"/>
    <w:p>
      <w:pPr>
        <w:pStyle w:val="Heading2"/>
      </w:pPr>
      <w:r>
        <w:t xml:space="preserve">References</w:t>
      </w:r>
    </w:p>
    <w:p>
      <w:pPr>
        <w:pStyle w:val="TableCaption"/>
      </w:pPr>
      <w:r>
        <w:t xml:space="preserve">References</w:t>
      </w:r>
    </w:p>
    <w:tbl>
      <w:tblPr>
        <w:tblStyle w:val="Table"/>
        <w:tblW w:type="pct" w:w="5000"/>
        <w:tblLayout w:type="fixed"/>
        <w:tblLook w:firstRow="1" w:lastRow="0" w:firstColumn="0" w:lastColumn="0" w:noHBand="0" w:noVBand="0" w:val="0020"/>
        <w:tblCaption w:val="References"/>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InfoBlox FedRAMP Marketplace (CSO FR2017257053)</w:t>
            </w:r>
          </w:p>
        </w:tc>
        <w:tc>
          <w:tcPr/>
          <w:p>
            <w:pPr>
              <w:pStyle w:val="Compact"/>
            </w:pPr>
            <w:hyperlink r:id="rId135">
              <w:r>
                <w:rPr>
                  <w:rStyle w:val="Hyperlink"/>
                </w:rPr>
                <w:t xml:space="preserve">fedramp.gov/marketplace/products/FR2017257053</w:t>
              </w:r>
            </w:hyperlink>
          </w:p>
        </w:tc>
      </w:tr>
      <w:tr>
        <w:tc>
          <w:tcPr/>
          <w:p>
            <w:pPr>
              <w:pStyle w:val="Compact"/>
            </w:pPr>
            <w:r>
              <w:t xml:space="preserve">VMware VCF 9.1 InfoBlox DDI Integration (May 2026)</w:t>
            </w:r>
          </w:p>
        </w:tc>
        <w:tc>
          <w:tcPr/>
          <w:p>
            <w:pPr>
              <w:pStyle w:val="Compact"/>
            </w:pPr>
            <w:hyperlink r:id="rId136">
              <w:r>
                <w:rPr>
                  <w:rStyle w:val="Hyperlink"/>
                </w:rPr>
                <w:t xml:space="preserve">blogs.vmware.com/cloud-foundation</w:t>
              </w:r>
            </w:hyperlink>
          </w:p>
        </w:tc>
      </w:tr>
      <w:tr>
        <w:tc>
          <w:tcPr/>
          <w:p>
            <w:pPr>
              <w:pStyle w:val="Compact"/>
            </w:pPr>
            <w:r>
              <w:t xml:space="preserve">Register InfoBlox NIOS DDI with NSX — Broadcom TechDocs</w:t>
            </w:r>
          </w:p>
        </w:tc>
        <w:tc>
          <w:tcPr/>
          <w:p>
            <w:pPr>
              <w:pStyle w:val="Compact"/>
            </w:pPr>
            <w:hyperlink r:id="rId137">
              <w:r>
                <w:rPr>
                  <w:rStyle w:val="Hyperlink"/>
                </w:rPr>
                <w:t xml:space="preserve">techdocs.broadcom.com/…/integrate-nsx-with-infoblox</w:t>
              </w:r>
            </w:hyperlink>
          </w:p>
        </w:tc>
      </w:tr>
      <w:tr>
        <w:tc>
          <w:tcPr/>
          <w:p>
            <w:pPr>
              <w:pStyle w:val="Compact"/>
            </w:pPr>
            <w:r>
              <w:t xml:space="preserve">Microsoft 365 IP and URL Web Service</w:t>
            </w:r>
          </w:p>
        </w:tc>
        <w:tc>
          <w:tcPr/>
          <w:p>
            <w:pPr>
              <w:pStyle w:val="Compact"/>
            </w:pPr>
            <w:hyperlink r:id="rId138">
              <w:r>
                <w:rPr>
                  <w:rStyle w:val="Hyperlink"/>
                </w:rPr>
                <w:t xml:space="preserve">docs.microsoft.com/en-us/microsoft-365/enterprise/microsoft-365-ip-web-service</w:t>
              </w:r>
            </w:hyperlink>
          </w:p>
        </w:tc>
      </w:tr>
      <w:tr>
        <w:tc>
          <w:tcPr/>
          <w:p>
            <w:pPr>
              <w:pStyle w:val="Compact"/>
            </w:pPr>
            <w:r>
              <w:t xml:space="preserve">AWS VPC IP Address Manager (IPAM)</w:t>
            </w:r>
          </w:p>
        </w:tc>
        <w:tc>
          <w:tcPr/>
          <w:p>
            <w:pPr>
              <w:pStyle w:val="Compact"/>
            </w:pPr>
            <w:hyperlink r:id="rId139">
              <w:r>
                <w:rPr>
                  <w:rStyle w:val="Hyperlink"/>
                </w:rPr>
                <w:t xml:space="preserve">docs.aws.amazon.com/vpc/latest/ipam</w:t>
              </w:r>
            </w:hyperlink>
          </w:p>
        </w:tc>
      </w:tr>
      <w:tr>
        <w:tc>
          <w:tcPr/>
          <w:p>
            <w:pPr>
              <w:pStyle w:val="Compact"/>
            </w:pPr>
            <w:r>
              <w:t xml:space="preserve">Azure Virtual Network Manager IPAM (preview)</w:t>
            </w:r>
          </w:p>
        </w:tc>
        <w:tc>
          <w:tcPr/>
          <w:p>
            <w:pPr>
              <w:pStyle w:val="Compact"/>
            </w:pPr>
            <w:hyperlink r:id="rId140">
              <w:r>
                <w:rPr>
                  <w:rStyle w:val="Hyperlink"/>
                </w:rPr>
                <w:t xml:space="preserve">learn.microsoft.com/en-us/azure/virtual-network-manager/concept-ip-address-management</w:t>
              </w:r>
            </w:hyperlink>
          </w:p>
        </w:tc>
      </w:tr>
      <w:tr>
        <w:tc>
          <w:tcPr/>
          <w:p>
            <w:pPr>
              <w:pStyle w:val="Compact"/>
            </w:pPr>
            <w:r>
              <w:t xml:space="preserve">CISA Zero Trust Maturity Model v2.0 (April 2023)</w:t>
            </w:r>
          </w:p>
        </w:tc>
        <w:tc>
          <w:tcPr/>
          <w:p>
            <w:pPr>
              <w:pStyle w:val="Compact"/>
            </w:pPr>
            <w:hyperlink r:id="rId141">
              <w:r>
                <w:rPr>
                  <w:rStyle w:val="Hyperlink"/>
                </w:rPr>
                <w:t xml:space="preserve">cisa.gov/sites/default/files/2023-04/zero_trust_maturity_model_v2_508.pdf</w:t>
              </w:r>
            </w:hyperlink>
          </w:p>
        </w:tc>
      </w:tr>
      <w:tr>
        <w:tc>
          <w:tcPr/>
          <w:p>
            <w:pPr>
              <w:pStyle w:val="Compact"/>
            </w:pPr>
            <w:r>
              <w:t xml:space="preserve">FedRAMP 20x KSI Enforcement — AWS Public Sector</w:t>
            </w:r>
          </w:p>
        </w:tc>
        <w:tc>
          <w:tcPr/>
          <w:p>
            <w:pPr>
              <w:pStyle w:val="Compact"/>
            </w:pPr>
            <w:hyperlink r:id="rId142">
              <w:r>
                <w:rPr>
                  <w:rStyle w:val="Hyperlink"/>
                </w:rPr>
                <w:t xml:space="preserve">aws.amazon.com/blogs/publicsector/preventive-controls-for-fedramp-20x</w:t>
              </w:r>
            </w:hyperlink>
          </w:p>
        </w:tc>
      </w:tr>
      <w:tr>
        <w:tc>
          <w:tcPr/>
          <w:p>
            <w:pPr>
              <w:pStyle w:val="Compact"/>
            </w:pPr>
            <w:r>
              <w:t xml:space="preserve">InfoBlox NIOS 9.0 Certificate Management</w:t>
            </w:r>
          </w:p>
        </w:tc>
        <w:tc>
          <w:tcPr/>
          <w:p>
            <w:pPr>
              <w:pStyle w:val="Compact"/>
            </w:pPr>
            <w:hyperlink r:id="rId143">
              <w:r>
                <w:rPr>
                  <w:rStyle w:val="Hyperlink"/>
                </w:rPr>
                <w:t xml:space="preserve">docs.infoblox.com/space/nios90/280266962</w:t>
              </w:r>
            </w:hyperlink>
          </w:p>
        </w:tc>
      </w:tr>
      <w:tr>
        <w:tc>
          <w:tcPr/>
          <w:p>
            <w:pPr>
              <w:pStyle w:val="Compact"/>
            </w:pPr>
            <w:r>
              <w:t xml:space="preserve">AWS Landing Zone Accelerator on AWS (LZA)</w:t>
            </w:r>
          </w:p>
        </w:tc>
        <w:tc>
          <w:tcPr/>
          <w:p>
            <w:pPr>
              <w:pStyle w:val="Compact"/>
            </w:pPr>
            <w:hyperlink r:id="rId144">
              <w:r>
                <w:rPr>
                  <w:rStyle w:val="Hyperlink"/>
                </w:rPr>
                <w:t xml:space="preserve">github.com/awslabs/landing-zone-accelerator-on-aws</w:t>
              </w:r>
            </w:hyperlink>
          </w:p>
        </w:tc>
      </w:tr>
      <w:tr>
        <w:tc>
          <w:tcPr/>
          <w:p>
            <w:pPr>
              <w:pStyle w:val="Compact"/>
            </w:pPr>
            <w:r>
              <w:t xml:space="preserve">InfoBlox IPAM and DHCP Solutions</w:t>
            </w:r>
          </w:p>
        </w:tc>
        <w:tc>
          <w:tcPr/>
          <w:p>
            <w:pPr>
              <w:pStyle w:val="Compact"/>
            </w:pPr>
            <w:hyperlink r:id="rId145">
              <w:r>
                <w:rPr>
                  <w:rStyle w:val="Hyperlink"/>
                </w:rPr>
                <w:t xml:space="preserve">infoblox.com/solutions/ipam-dhcp</w:t>
              </w:r>
            </w:hyperlink>
          </w:p>
        </w:tc>
      </w:tr>
      <w:tr>
        <w:tc>
          <w:tcPr/>
          <w:p>
            <w:pPr>
              <w:pStyle w:val="Compact"/>
            </w:pPr>
            <w:r>
              <w:t xml:space="preserve">Configure DHCP for Azure VMware Solution (NSX-T)</w:t>
            </w:r>
          </w:p>
        </w:tc>
        <w:tc>
          <w:tcPr/>
          <w:p>
            <w:pPr>
              <w:pStyle w:val="Compact"/>
            </w:pPr>
            <w:hyperlink r:id="rId146">
              <w:r>
                <w:rPr>
                  <w:rStyle w:val="Hyperlink"/>
                </w:rPr>
                <w:t xml:space="preserve">learn.microsoft.com/en-us/azure/azure-vmware/configure-dhcp-azure-vmware-solution</w:t>
              </w:r>
            </w:hyperlink>
          </w:p>
        </w:tc>
      </w:tr>
    </w:tbl>
    <w:p>
      <w:r>
        <w:pict>
          <v:rect style="width:0;height:1.5pt" o:hralign="center" o:hrstd="t" o:hr="t"/>
        </w:pict>
      </w:r>
    </w:p>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60" Target="media/rId60.png"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110" Target="media/rId110.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72" Target="media/rId72.png" /><Relationship Type="http://schemas.openxmlformats.org/officeDocument/2006/relationships/image" Id="rId13" Target="media/rId13.png" /><Relationship Type="http://schemas.openxmlformats.org/officeDocument/2006/relationships/image" Id="rId99" Target="media/rId99.png" /><Relationship Type="http://schemas.openxmlformats.org/officeDocument/2006/relationships/image" Id="rId18" Target="media/rId18.png" /><Relationship Type="http://schemas.openxmlformats.org/officeDocument/2006/relationships/image" Id="rId44" Target="media/rId44.png" /><Relationship Type="http://schemas.openxmlformats.org/officeDocument/2006/relationships/image" Id="rId124" Target="media/rId124.png" /><Relationship Type="http://schemas.openxmlformats.org/officeDocument/2006/relationships/image" Id="rId107" Target="media/rId107.png" /><Relationship Type="http://schemas.openxmlformats.org/officeDocument/2006/relationships/image" Id="rId81" Target="media/rId81.svg" /><Relationship Type="http://schemas.openxmlformats.org/officeDocument/2006/relationships/image" Id="rId86" Target="media/rId86.svg" /><Relationship Type="http://schemas.openxmlformats.org/officeDocument/2006/relationships/hyperlink" Id="rId115" Target="Book_02_FedAAN_Network_Access_Control_802_1X.qmd" TargetMode="External" /><Relationship Type="http://schemas.openxmlformats.org/officeDocument/2006/relationships/hyperlink" Id="rId71" Target="Book_03_FedAAN_Certificates_Tokens_Cryptographic_Identity.qmd" TargetMode="External" /><Relationship Type="http://schemas.openxmlformats.org/officeDocument/2006/relationships/hyperlink" Id="rId94" Target="Book_05_FedAAN_Network_Modernization.qmd" TargetMode="External" /><Relationship Type="http://schemas.openxmlformats.org/officeDocument/2006/relationships/hyperlink" Id="rId142" Target="https://aws.amazon.com/blogs/publicsector/preventive-controls-for-fedramp-20x-using-scps-and-guardrails-to-enforce-ksis/" TargetMode="External" /><Relationship Type="http://schemas.openxmlformats.org/officeDocument/2006/relationships/hyperlink" Id="rId136" Target="https://blogs.vmware.com/cloud-foundation/2026/05/15/vcf-networking-9-1-seamless-ddi-integration-with-infoblox/" TargetMode="External" /><Relationship Type="http://schemas.openxmlformats.org/officeDocument/2006/relationships/hyperlink" Id="rId139" Target="https://docs.aws.amazon.com/vpc/latest/ipam/what-it-is-ipam.html" TargetMode="External" /><Relationship Type="http://schemas.openxmlformats.org/officeDocument/2006/relationships/hyperlink" Id="rId143" Target="https://docs.infoblox.com/space/nios90/280266962" TargetMode="External" /><Relationship Type="http://schemas.openxmlformats.org/officeDocument/2006/relationships/hyperlink" Id="rId138" Target="https://docs.microsoft.com/en-us/microsoft-365/enterprise/microsoft-365-ip-web-service" TargetMode="External" /><Relationship Type="http://schemas.openxmlformats.org/officeDocument/2006/relationships/hyperlink" Id="rId144" Target="https://github.com/awslabs/landing-zone-accelerator-on-aws" TargetMode="External" /><Relationship Type="http://schemas.openxmlformats.org/officeDocument/2006/relationships/hyperlink" Id="rId146" Target="https://learn.microsoft.com/en-us/azure/azure-vmware/configure-dhcp-azure-vmware-solution" TargetMode="External" /><Relationship Type="http://schemas.openxmlformats.org/officeDocument/2006/relationships/hyperlink" Id="rId140" Target="https://learn.microsoft.com/en-us/azure/virtual-network-manager/concept-ip-address-management" TargetMode="External" /><Relationship Type="http://schemas.openxmlformats.org/officeDocument/2006/relationships/hyperlink" Id="rId137" Target="https://techdocs.broadcom.com/us/en/vmware-cis/vcf/vcf-9-0-and-later/9-1/advanced-network-management/ip-address-management-ipam/integrate-nsx-with-infoblox.html" TargetMode="External" /><Relationship Type="http://schemas.openxmlformats.org/officeDocument/2006/relationships/hyperlink" Id="rId141" Target="https://www.cisa.gov/sites/default/files/2023-04/zero_trust_maturity_model_v2_508.pdf" TargetMode="External" /><Relationship Type="http://schemas.openxmlformats.org/officeDocument/2006/relationships/hyperlink" Id="rId135" Target="https://www.fedramp.gov/marketplace/products/FR2017257053/" TargetMode="External" /><Relationship Type="http://schemas.openxmlformats.org/officeDocument/2006/relationships/hyperlink" Id="rId145" Target="https://www.infoblox.com/solutions/ipam-dhcp/" TargetMode="External" /></Relationships>
</file>

<file path=word/_rels/footnotes.xml.rels><?xml version="1.0" encoding="UTF-8"?><Relationships xmlns="http://schemas.openxmlformats.org/package/2006/relationships"><Relationship Type="http://schemas.openxmlformats.org/officeDocument/2006/relationships/hyperlink" Id="rId115" Target="Book_02_FedAAN_Network_Access_Control_802_1X.qmd" TargetMode="External" /><Relationship Type="http://schemas.openxmlformats.org/officeDocument/2006/relationships/hyperlink" Id="rId71" Target="Book_03_FedAAN_Certificates_Tokens_Cryptographic_Identity.qmd" TargetMode="External" /><Relationship Type="http://schemas.openxmlformats.org/officeDocument/2006/relationships/hyperlink" Id="rId94" Target="Book_05_FedAAN_Network_Modernization.qmd" TargetMode="External" /><Relationship Type="http://schemas.openxmlformats.org/officeDocument/2006/relationships/hyperlink" Id="rId142" Target="https://aws.amazon.com/blogs/publicsector/preventive-controls-for-fedramp-20x-using-scps-and-guardrails-to-enforce-ksis/" TargetMode="External" /><Relationship Type="http://schemas.openxmlformats.org/officeDocument/2006/relationships/hyperlink" Id="rId136" Target="https://blogs.vmware.com/cloud-foundation/2026/05/15/vcf-networking-9-1-seamless-ddi-integration-with-infoblox/" TargetMode="External" /><Relationship Type="http://schemas.openxmlformats.org/officeDocument/2006/relationships/hyperlink" Id="rId139" Target="https://docs.aws.amazon.com/vpc/latest/ipam/what-it-is-ipam.html" TargetMode="External" /><Relationship Type="http://schemas.openxmlformats.org/officeDocument/2006/relationships/hyperlink" Id="rId143" Target="https://docs.infoblox.com/space/nios90/280266962" TargetMode="External" /><Relationship Type="http://schemas.openxmlformats.org/officeDocument/2006/relationships/hyperlink" Id="rId138" Target="https://docs.microsoft.com/en-us/microsoft-365/enterprise/microsoft-365-ip-web-service" TargetMode="External" /><Relationship Type="http://schemas.openxmlformats.org/officeDocument/2006/relationships/hyperlink" Id="rId144" Target="https://github.com/awslabs/landing-zone-accelerator-on-aws" TargetMode="External" /><Relationship Type="http://schemas.openxmlformats.org/officeDocument/2006/relationships/hyperlink" Id="rId146" Target="https://learn.microsoft.com/en-us/azure/azure-vmware/configure-dhcp-azure-vmware-solution" TargetMode="External" /><Relationship Type="http://schemas.openxmlformats.org/officeDocument/2006/relationships/hyperlink" Id="rId140" Target="https://learn.microsoft.com/en-us/azure/virtual-network-manager/concept-ip-address-management" TargetMode="External" /><Relationship Type="http://schemas.openxmlformats.org/officeDocument/2006/relationships/hyperlink" Id="rId137" Target="https://techdocs.broadcom.com/us/en/vmware-cis/vcf/vcf-9-0-and-later/9-1/advanced-network-management/ip-address-management-ipam/integrate-nsx-with-infoblox.html" TargetMode="External" /><Relationship Type="http://schemas.openxmlformats.org/officeDocument/2006/relationships/hyperlink" Id="rId141" Target="https://www.cisa.gov/sites/default/files/2023-04/zero_trust_maturity_model_v2_508.pdf" TargetMode="External" /><Relationship Type="http://schemas.openxmlformats.org/officeDocument/2006/relationships/hyperlink" Id="rId135" Target="https://www.fedramp.gov/marketplace/products/FR2017257053/" TargetMode="External" /><Relationship Type="http://schemas.openxmlformats.org/officeDocument/2006/relationships/hyperlink" Id="rId145" Target="https://www.infoblox.com/solutions/ipam-dh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01 — Federal Agency Cloud Landing Zone</dc:title>
  <dc:creator>SSA Cloud Services Team</dc:creator>
  <cp:keywords/>
  <dcterms:created xsi:type="dcterms:W3CDTF">2026-07-06T11:46:32Z</dcterms:created>
  <dcterms:modified xsi:type="dcterms:W3CDTF">2026-07-06T11:46:32Z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IPAM · SDN · DNS · PKI · Zero Trust — InfoBlox DDI Alignment to NIST, CISA, and FedRAMP</vt:lpwstr>
  </property>
  <property fmtid="{D5CDD505-2E9C-101B-9397-08002B2CF9AE}" pid="14" name="toc-title">
    <vt:lpwstr>Table of contents</vt:lpwstr>
  </property>
</Properties>
</file>