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9.png" ContentType="image/png"/>
  <Override PartName="/word/media/rId12.png" ContentType="image/png"/>
  <Override PartName="/word/media/rId34.png" ContentType="image/png"/>
  <Override PartName="/word/media/rId40.png" ContentType="image/png"/>
  <Override PartName="/word/media/rId45.png" ContentType="image/png"/>
  <Override PartName="/word/media/rId58.png" ContentType="image/png"/>
  <Override PartName="/word/media/rId77.png" ContentType="image/png"/>
  <Override PartName="/word/media/rId15.png" ContentType="image/png"/>
  <Override PartName="/word/media/rId19.png" ContentType="image/png"/>
  <Override PartName="/word/media/rId23.png" ContentType="image/png"/>
  <Override PartName="/word/media/rId49.png" ContentType="image/png"/>
  <Override PartName="/word/media/rId30.png" ContentType="image/png"/>
  <Override PartName="/word/media/rId66.png" ContentType="image/png"/>
  <Override PartName="/word/media/rId69.png" ContentType="image/png"/>
  <Override PartName="/word/media/rId61.png" ContentType="image/png"/>
  <Override PartName="/word/media/rId85.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05 — From Mainframe to Application-Aware Modernization</w:t>
      </w:r>
    </w:p>
    <w:p>
      <w:pPr>
        <w:pStyle w:val="Subtitle"/>
      </w:pPr>
      <w:r>
        <w:t xml:space="preserve">How Federal Agencies Lost Their Single Source of Truth Across Forty Years — and What Zero Trust, CISA, NIST, and FedRAMP 20x Require to Restore It</w:t>
      </w:r>
    </w:p>
    <w:p>
      <w:pPr>
        <w:pStyle w:val="Author"/>
      </w:pPr>
      <w:r>
        <w:t xml:space="preserve">Michael 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
          <w:bCs/>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
          <w:bCs/>
        </w:rPr>
        <w:t xml:space="preserve">Five things every decision maker needs to understand:</w:t>
      </w:r>
    </w:p>
    <w:p>
      <w:pPr>
        <w:numPr>
          <w:ilvl w:val="0"/>
          <w:numId w:val="1001"/>
        </w:numPr>
      </w:pPr>
      <w:r>
        <w:rPr>
          <w:b/>
          <w:bCs/>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
          <w:bCs/>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
          <w:bCs/>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
          <w:bCs/>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
          <w:bCs/>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one sentence the whole story turns on:</w:t>
            </w:r>
            <w:r>
              <w:t xml:space="preserve"> </w:t>
            </w:r>
            <w:r>
              <w:t xml:space="preserve">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tc>
      </w:tr>
    </w:tbl>
    <w:p>
      <w:pPr>
        <w:pStyle w:val="CaptionedFigure"/>
      </w:pPr>
      <w:r>
        <w:drawing>
          <wp:inline>
            <wp:extent cx="5334000" cy="2844800"/>
            <wp:effectExtent b="0" l="0" r="0" t="0"/>
            <wp:docPr descr="Forty Years of Federal IT Architecture — Four Acts" title="" id="13" name="Picture"/>
            <a:graphic>
              <a:graphicData uri="http://schemas.openxmlformats.org/drawingml/2006/picture">
                <pic:pic>
                  <pic:nvPicPr>
                    <pic:cNvPr descr="figs/mf-fig-01-four-acts.png" id="14" name="Picture"/>
                    <pic:cNvPicPr>
                      <a:picLocks noChangeArrowheads="1" noChangeAspect="1"/>
                    </pic:cNvPicPr>
                  </pic:nvPicPr>
                  <pic:blipFill>
                    <a:blip r:embed="rId1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18" w:name="prologue-the-mainframe-era-1940s1990s"/>
    <w:p>
      <w:pPr>
        <w:pStyle w:val="Heading1"/>
      </w:pPr>
      <w:r>
        <w:t xml:space="preserve">1. Prologue — The Mainframe Era (1940s–1990s)</w:t>
      </w:r>
    </w:p>
    <w:p>
      <w:pPr>
        <w:pStyle w:val="CaptionedFigure"/>
      </w:pPr>
      <w:r>
        <w:drawing>
          <wp:inline>
            <wp:extent cx="5334000" cy="2844800"/>
            <wp:effectExtent b="0" l="0" r="0" t="0"/>
            <wp:docPr descr="The Mainframe Era: Brutal Elegance of Centralized Truth" title="" id="16" name="Picture"/>
            <a:graphic>
              <a:graphicData uri="http://schemas.openxmlformats.org/drawingml/2006/picture">
                <pic:pic>
                  <pic:nvPicPr>
                    <pic:cNvPr descr="figs/mf-fig-07-mainframe-scene.png" id="17" name="Picture"/>
                    <pic:cNvPicPr>
                      <a:picLocks noChangeArrowheads="1" noChangeAspect="1"/>
                    </pic:cNvPicPr>
                  </pic:nvPicPr>
                  <pic:blipFill>
                    <a:blip r:embed="rId1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
          <w:bCs/>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
          <w:bCs/>
        </w:rPr>
        <w:t xml:space="preserve">one source of truth.</w:t>
      </w:r>
      <w:r>
        <w:t xml:space="preserve"> </w:t>
      </w:r>
      <w:r>
        <w:t xml:space="preserve">The mainframe</w:t>
      </w:r>
      <w:r>
        <w:t xml:space="preserve"> </w:t>
      </w:r>
      <w:r>
        <w:rPr>
          <w:i/>
          <w:iCs/>
        </w:rPr>
        <w:t xml:space="preserve">was</w:t>
      </w:r>
      <w:r>
        <w:t xml:space="preserve"> </w:t>
      </w:r>
      <w:r>
        <w:t xml:space="preserve">the truth. When you asked</w:t>
      </w:r>
      <w:r>
        <w:t xml:space="preserve"> </w:t>
      </w:r>
      <w:r>
        <w:t xml:space="preserve">“how many people received benefits this month,”</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
          <w:bCs/>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
          <w:iCs/>
        </w:rPr>
        <w:t xml:space="preserve">held</w:t>
      </w:r>
      <w:r>
        <w:t xml:space="preserve"> </w:t>
      </w:r>
      <w:r>
        <w:t xml:space="preserve">the truth was the same machine that</w:t>
      </w:r>
      <w:r>
        <w:t xml:space="preserve"> </w:t>
      </w:r>
      <w:r>
        <w:rPr>
          <w:i/>
          <w:iCs/>
        </w:rPr>
        <w:t xml:space="preserve">enforced</w:t>
      </w:r>
      <w:r>
        <w:t xml:space="preserve"> </w:t>
      </w:r>
      <w:r>
        <w:t xml:space="preserve">access to it. Truth and enforcement lived in one box. Remember that; it is the seed of everything that follows.</w:t>
      </w:r>
    </w:p>
    <w:bookmarkEnd w:id="18"/>
    <w:bookmarkStart w:id="22" w:name="X18873164e95a4d6a646bc97ec64d4bf5115d173"/>
    <w:p>
      <w:pPr>
        <w:pStyle w:val="Heading1"/>
      </w:pPr>
      <w:r>
        <w:t xml:space="preserve">2. Act 1 — The Great Decentralization (Late 1980s–2000)</w:t>
      </w:r>
    </w:p>
    <w:p>
      <w:pPr>
        <w:pStyle w:val="CaptionedFigure"/>
      </w:pPr>
      <w:r>
        <w:drawing>
          <wp:inline>
            <wp:extent cx="5334000" cy="2844800"/>
            <wp:effectExtent b="0" l="0" r="0" t="0"/>
            <wp:docPr descr="Act 1 — The Great Decentralization: One Became Twelve" title="" id="20" name="Picture"/>
            <a:graphic>
              <a:graphicData uri="http://schemas.openxmlformats.org/drawingml/2006/picture">
                <pic:pic>
                  <pic:nvPicPr>
                    <pic:cNvPr descr="figs/mf-fig-08-decentralization.png" id="21" name="Picture"/>
                    <pic:cNvPicPr>
                      <a:picLocks noChangeArrowheads="1" noChangeAspect="1"/>
                    </pic:cNvPicPr>
                  </pic:nvPicPr>
                  <pic:blipFill>
                    <a:blip r:embed="rId1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
          <w:bCs/>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“benefit”</w:t>
      </w:r>
      <w:r>
        <w:t xml:space="preserve"> </w:t>
      </w:r>
      <w:r>
        <w:t xml:space="preserve">even meant.</w:t>
      </w:r>
    </w:p>
    <w:p>
      <w:pPr>
        <w:pStyle w:val="BodyText"/>
      </w:pPr>
      <w:r>
        <w:t xml:space="preserve">The vision of distributed intelligence was real and good. But it came at a cost:</w:t>
      </w:r>
      <w:r>
        <w:t xml:space="preserve"> </w:t>
      </w:r>
      <w:r>
        <w:rPr>
          <w:b/>
          <w:bCs/>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22"/>
    <w:bookmarkStart w:id="29" w:name="Xa5d42bf2b30a1c47baea860d55f996e17aa8aa1"/>
    <w:p>
      <w:pPr>
        <w:pStyle w:val="Heading1"/>
      </w:pPr>
      <w:r>
        <w:t xml:space="preserve">3. Act 2 — When Security Ate the Architecture (2010–2020)</w:t>
      </w:r>
    </w:p>
    <w:p>
      <w:pPr>
        <w:pStyle w:val="CaptionedFigure"/>
      </w:pPr>
      <w:r>
        <w:drawing>
          <wp:inline>
            <wp:extent cx="5334000" cy="2844800"/>
            <wp:effectExtent b="0" l="0" r="0" t="0"/>
            <wp:docPr descr="Act 2 — When Security Ate the Architecture: Stacked Defense Broke Sessions" title="" id="24" name="Picture"/>
            <a:graphic>
              <a:graphicData uri="http://schemas.openxmlformats.org/drawingml/2006/picture">
                <pic:pic>
                  <pic:nvPicPr>
                    <pic:cNvPr descr="figs/mf-fig-09-security-stacking.png" id="25" name="Picture"/>
                    <pic:cNvPicPr>
                      <a:picLocks noChangeArrowheads="1" noChangeAspect="1"/>
                    </pic:cNvPicPr>
                  </pic:nvPicPr>
                  <pic:blipFill>
                    <a:blip r:embed="rId2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
          <w:bCs/>
        </w:rPr>
        <w:t xml:space="preserve">cybersecurity became a board-level imperative.</w:t>
      </w:r>
      <w:r>
        <w:t xml:space="preserve"> </w:t>
      </w:r>
      <w:r>
        <w:t xml:space="preserve">Not just</w:t>
      </w:r>
      <w:r>
        <w:t xml:space="preserve"> </w:t>
      </w:r>
      <w:r>
        <w:t xml:space="preserve">“have a firewall.”</w:t>
      </w:r>
      <w:r>
        <w:t xml:space="preserve"> </w:t>
      </w:r>
      <w:r>
        <w:t xml:space="preserve">Defense-in-depth. Layered security. Multiple inspection points.</w:t>
      </w:r>
    </w:p>
    <w:p>
      <w:pPr>
        <w:pStyle w:val="BodyText"/>
      </w:pPr>
      <w:r>
        <w:rPr>
          <w:b/>
          <w:bCs/>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
          <w:iCs/>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
          <w:bCs/>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
          <w:bCs/>
        </w:rPr>
        <w:t xml:space="preserve">No amount of bandwidth changes this. Bandwidth is volume. Latency is distance. You cannot buy your way out of geography.</w:t>
      </w:r>
    </w:p>
    <w:bookmarkStart w:id="26" w:name="X1d61b71b197144df5c1017d94a8b4db9bf91fc0"/>
    <w:p>
      <w:pPr>
        <w:pStyle w:val="Heading2"/>
      </w:pPr>
      <w:r>
        <w:t xml:space="preserve">3.1 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
          <w:bCs/>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
          <w:bCs/>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
          <w:bCs/>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bookmarkEnd w:id="26"/>
    <w:bookmarkStart w:id="28" w:name="X017a50bf62e493ab6555d7a0007d69ae6eeca55"/>
    <w:p>
      <w:pPr>
        <w:pStyle w:val="Heading2"/>
      </w:pPr>
      <w:r>
        <w:t xml:space="preserve">3.2 Where the Inline Tier Went: The Dissolution of the Load Balancer</w:t>
      </w:r>
    </w:p>
    <w:p>
      <w:pPr>
        <w:pStyle w:val="FirstParagraph"/>
      </w:pPr>
      <w:r>
        <w:t xml:space="preserve">Before leaving Act 2, follow its signature artifact to its ending. The load balancers that became inline proxies — and the forward proxies, VPN concentrators, and hardware application delivery controllers stacked beside them — do not survive into the modern architecture. But they do not migrate to any single successor either, and that is where modernization plans most often make a category error. The inline tier</w:t>
      </w:r>
      <w:r>
        <w:t xml:space="preserve"> </w:t>
      </w:r>
      <w:r>
        <w:rPr>
          <w:b/>
          <w:bCs/>
        </w:rPr>
        <w:t xml:space="preserve">dissolves into three separate functional planes</w:t>
      </w:r>
      <w:r>
        <w:t xml:space="preserve">, and each of its legacy functions lands in a different one:</w:t>
      </w:r>
    </w:p>
    <w:p>
      <w:pPr>
        <w:pStyle w:val="TableCaption"/>
      </w:pPr>
      <w:r>
        <w:t xml:space="preserve">The Dissolution of the Load-Balancer / Proxy Tier</w:t>
      </w:r>
    </w:p>
    <w:tbl>
      <w:tblPr>
        <w:tblStyle w:val="Table"/>
        <w:tblW w:type="pct" w:w="5000"/>
        <w:tblLayout w:type="fixed"/>
        <w:tblLook w:firstRow="1" w:lastRow="0" w:firstColumn="0" w:lastColumn="0" w:noHBand="0" w:noVBand="0" w:val="0020"/>
        <w:tblCaption w:val="The Dissolution of the Load-Balancer / Proxy Tier"/>
      </w:tblPr>
      <w:tblGrid>
        <w:gridCol w:w="2640"/>
        <w:gridCol w:w="2640"/>
        <w:gridCol w:w="264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r>
      <w:tr>
        <w:tc>
          <w:tcPr/>
          <w:p>
            <w:pPr>
              <w:pStyle w:val="Compact"/>
            </w:pPr>
            <w:r>
              <w:t xml:space="preserve">Forward proxy / VPN concentrator / secure web gateway appliance</w:t>
            </w:r>
          </w:p>
        </w:tc>
        <w:tc>
          <w:tcPr/>
          <w:p>
            <w:pPr>
              <w:pStyle w:val="Compact"/>
            </w:pPr>
            <w:r>
              <w:t xml:space="preserve">SASE/SSE — cloud-delivered SWG, CASB, ZTNA</w:t>
            </w:r>
          </w:p>
        </w:tc>
        <w:tc>
          <w:tcPr/>
          <w:p>
            <w:pPr>
              <w:pStyle w:val="Compact"/>
            </w:pPr>
            <w:r>
              <w:t xml:space="preserve">Policy enforcement plane</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cloud load balancers, global front doors)</w:t>
            </w:r>
          </w:p>
        </w:tc>
        <w:tc>
          <w:tcPr/>
          <w:p>
            <w:pPr>
              <w:pStyle w:val="Compact"/>
            </w:pPr>
            <w:r>
              <w:t xml:space="preserve">Application delivery plane — a landing-zone function</w:t>
            </w:r>
          </w:p>
        </w:tc>
      </w:tr>
      <w:tr>
        <w:tc>
          <w:tcPr/>
          <w:p>
            <w:pPr>
              <w:pStyle w:val="Compact"/>
            </w:pPr>
            <w:r>
              <w:t xml:space="preserve">GSLB / global traffic steering</w:t>
            </w:r>
          </w:p>
        </w:tc>
        <w:tc>
          <w:tcPr/>
          <w:p>
            <w:pPr>
              <w:pStyle w:val="Compact"/>
            </w:pPr>
            <w:r>
              <w:t xml:space="preserve">DNS-based traffic steering — health-checked, policy-weighted authoritative DNS responses</w:t>
            </w:r>
          </w:p>
        </w:tc>
        <w:tc>
          <w:tcPr/>
          <w:p>
            <w:pPr>
              <w:pStyle w:val="Compact"/>
            </w:pPr>
            <w:r>
              <w:t xml:space="preserve">Naming and addressing plane — a DDI control-plane function (</w:t>
            </w:r>
            <w:hyperlink r:id="rId27">
              <w:r>
                <w:rPr>
                  <w:rStyle w:val="Hyperlink"/>
                </w:rPr>
                <w:t xml:space="preserve">Book 01</w:t>
              </w:r>
            </w:hyperlink>
            <w:r>
              <w:t xml:space="preserve">)</w:t>
            </w:r>
          </w:p>
        </w:tc>
      </w:tr>
    </w:tbl>
    <w:p>
      <w:pPr>
        <w:pStyle w:val="BodyText"/>
      </w:pPr>
      <w:r>
        <w:t xml:space="preserve">The category error this table pre-empts:</w:t>
      </w:r>
      <w:r>
        <w:t xml:space="preserve"> </w:t>
      </w:r>
      <w:r>
        <w:t xml:space="preserve">“SD-WAN replaces the load balancer.”</w:t>
      </w:r>
      <w:r>
        <w:t xml:space="preserve"> </w:t>
      </w:r>
      <w:r>
        <w:t xml:space="preserve">It does not, and claiming it does hands skeptics an easy rebuttal.</w:t>
      </w:r>
      <w:r>
        <w:t xml:space="preserve"> </w:t>
      </w:r>
      <w:r>
        <w:rPr>
          <w:b/>
          <w:bCs/>
        </w:rPr>
        <w:t xml:space="preserve">SD-WAN does not replace the load balancer; it retires the WAN edge. The load-balancer tier dissolves upward into cloud-native delivery services and downward into the DNS control plane.</w:t>
      </w:r>
      <w:r>
        <w:t xml:space="preserve"> </w:t>
      </w:r>
      <w:r>
        <w:t xml:space="preserve">The remote-access half of the tier — the forward proxies and VPN concentrators that extended per-network trust — dissolves sideways into the SASE/SSE policy enforcement plane described in Act 4. The global-steering half was always a DNS decision executed by an appliance; returned to the naming plane, it inherits the DNSSEC signing, IaC management, and audit logging that plane already carries. Nothing on the list needs a like-for-like appliance replacement, because none of the functions was ever really about the box.</w:t>
      </w:r>
    </w:p>
    <w:bookmarkEnd w:id="28"/>
    <w:bookmarkEnd w:id="29"/>
    <w:bookmarkStart w:id="33" w:name="act-3-the-breaking-point-20202026"/>
    <w:p>
      <w:pPr>
        <w:pStyle w:val="Heading1"/>
      </w:pPr>
      <w:r>
        <w:t xml:space="preserve">4. Act 3 — The Breaking Point (2020–2026)</w:t>
      </w:r>
    </w:p>
    <w:p>
      <w:pPr>
        <w:pStyle w:val="CaptionedFigure"/>
      </w:pPr>
      <w:r>
        <w:drawing>
          <wp:inline>
            <wp:extent cx="5334000" cy="2844800"/>
            <wp:effectExtent b="0" l="0" r="0" t="0"/>
            <wp:docPr descr="Act 3 — Four Environments, No Single Identity: The Breaking Point" title="" id="31" name="Picture"/>
            <a:graphic>
              <a:graphicData uri="http://schemas.openxmlformats.org/drawingml/2006/picture">
                <pic:pic>
                  <pic:nvPicPr>
                    <pic:cNvPr descr="figs/mf-fig-11-four-environments.png" id="32" name="Picture"/>
                    <pic:cNvPicPr>
                      <a:picLocks noChangeArrowheads="1" noChangeAspect="1"/>
                    </pic:cNvPicPr>
                  </pic:nvPicPr>
                  <pic:blipFill>
                    <a:blip r:embed="rId3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
          <w:bCs/>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
          <w:bCs/>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
          <w:iCs/>
        </w:rPr>
        <w:t xml:space="preserve">do</w:t>
      </w:r>
      <w:r>
        <w:t xml:space="preserve"> </w:t>
      </w:r>
      <w:r>
        <w:t xml:space="preserve">things but could not</w:t>
      </w:r>
      <w:r>
        <w:t xml:space="preserve"> </w:t>
      </w:r>
      <w:r>
        <w:rPr>
          <w:i/>
          <w:iCs/>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
          <w:bCs/>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33"/>
    <w:bookmarkStart w:id="39" w:name="X4b5505421db170a3086556578fd2300fc212abc"/>
    <w:p>
      <w:pPr>
        <w:pStyle w:val="Heading1"/>
      </w:pPr>
      <w:r>
        <w:t xml:space="preserve">5. The Physics Argument Decision Makers Have Not Heard</w:t>
      </w:r>
    </w:p>
    <w:p>
      <w:pPr>
        <w:pStyle w:val="CaptionedFigure"/>
      </w:pPr>
      <w:r>
        <w:drawing>
          <wp:inline>
            <wp:extent cx="5334000" cy="2755900"/>
            <wp:effectExtent b="0" l="0" r="0" t="0"/>
            <wp:docPr descr="Physics Floor: Fiber vs. LEO Satellite vs. 5G" title="" id="35" name="Picture"/>
            <a:graphic>
              <a:graphicData uri="http://schemas.openxmlformats.org/drawingml/2006/picture">
                <pic:pic>
                  <pic:nvPicPr>
                    <pic:cNvPr descr="figs/mf-fig-02-physics-floor.png" id="36" name="Picture"/>
                    <pic:cNvPicPr>
                      <a:picLocks noChangeArrowheads="1" noChangeAspect="1"/>
                    </pic:cNvPicPr>
                  </pic:nvPicPr>
                  <pic:blipFill>
                    <a:blip r:embed="rId34"/>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“the MPLS hairpin is causing latency problems,”</w:t>
      </w:r>
      <w:r>
        <w:t xml:space="preserve"> </w:t>
      </w:r>
      <w:r>
        <w:t xml:space="preserve">the response is almost always:</w:t>
      </w:r>
      <w:r>
        <w:t xml:space="preserve"> </w:t>
      </w:r>
      <w:r>
        <w:t xml:space="preserve">“add a Direct Internet Access circuit at the branch.”</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
          <w:bCs/>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p>
      <w:pPr>
        <w:pStyle w:val="BlockText"/>
      </w:pPr>
      <w:r>
        <w:rPr>
          <w:b/>
          <w:bCs/>
        </w:rPr>
        <w:t xml:space="preserve">The three-step every DIA conversation must survive.</w:t>
      </w:r>
      <w:r>
        <w:t xml:space="preserve"> </w:t>
      </w:r>
      <w:r>
        <w:t xml:space="preserve">(1)</w:t>
      </w:r>
      <w:r>
        <w:t xml:space="preserve"> </w:t>
      </w:r>
      <w:r>
        <w:rPr>
          <w:i/>
          <w:iCs/>
        </w:rPr>
        <w:t xml:space="preserve">What DIA solves:</w:t>
      </w:r>
      <w:r>
        <w:t xml:space="preserve"> </w:t>
      </w:r>
      <w:r>
        <w:t xml:space="preserve">exactly one thing — the geographic hairpin. The latency budget is a physics constraint, and local breakout is the only fix. (2)</w:t>
      </w:r>
      <w:r>
        <w:t xml:space="preserve"> </w:t>
      </w:r>
      <w:r>
        <w:rPr>
          <w:i/>
          <w:iCs/>
        </w:rPr>
        <w:t xml:space="preserve">What DIA satisfies:</w:t>
      </w:r>
      <w:r>
        <w:t xml:space="preserve"> </w:t>
      </w:r>
      <w:r>
        <w:t xml:space="preserve">exactly zero NIST controls. DIA is a pipe; every control claimed near it — SC-7, SC-8, AC-4, SI-4, CA-7 — is satisfied by the SD-WAN, SASE, and TIC 3.0 stack that governs the pipe, never by the pipe itself. (3)</w:t>
      </w:r>
      <w:r>
        <w:t xml:space="preserve"> </w:t>
      </w:r>
      <w:r>
        <w:rPr>
          <w:i/>
          <w:iCs/>
        </w:rPr>
        <w:t xml:space="preserve">What DIA breaks if deployed bare:</w:t>
      </w:r>
      <w:r>
        <w:t xml:space="preserve"> </w:t>
      </w:r>
      <w:r>
        <w:t xml:space="preserve">the TIC boundary. A bare DIA circuit is an SC-7 regression against the MPLS/TIC baseline it replaced — from the assessor’s chair, it is</w:t>
      </w:r>
      <w:r>
        <w:t xml:space="preserve"> </w:t>
      </w:r>
      <w:r>
        <w:rPr>
          <w:i/>
          <w:iCs/>
        </w:rPr>
        <w:t xml:space="preserve">worse</w:t>
      </w:r>
      <w:r>
        <w:t xml:space="preserve"> </w:t>
      </w:r>
      <w:r>
        <w:t xml:space="preserve">than the hairpin it fixed.</w:t>
      </w:r>
    </w:p>
    <w:bookmarkStart w:id="37" w:name="X9d7df7bedc6624b327225ae3c4e0228b4ada747"/>
    <w:p>
      <w:pPr>
        <w:pStyle w:val="Heading2"/>
      </w:pPr>
      <w:r>
        <w:t xml:space="preserve">5.1 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
          <w:bCs/>
        </w:rPr>
        <w:t xml:space="preserve">20–40 ms and improving.</w:t>
      </w:r>
      <w:r>
        <w:t xml:space="preserve"> </w:t>
      </w:r>
      <w:r>
        <w:t xml:space="preserve">That places LEO satellite in the same competitive range as broadband DIA circuits.</w:t>
      </w:r>
    </w:p>
    <w:p>
      <w:pPr>
        <w:pStyle w:val="BlockText"/>
      </w:pPr>
      <w:r>
        <w:rPr>
          <w:b/>
          <w:bCs/>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arrives</w:t>
      </w:r>
      <w:r>
        <w:t xml:space="preserve"> </w:t>
      </w:r>
      <w:r>
        <w:rPr>
          <w:b/>
          <w:bCs/>
        </w:rPr>
        <w:t xml:space="preserve">50% sooner</w:t>
      </w:r>
      <w:r>
        <w:t xml:space="preserve"> </w:t>
      </w:r>
      <w:r>
        <w:t xml:space="preserve">than a signal through fiber.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
          <w:bCs/>
        </w:rPr>
        <w:t xml:space="preserve">Under the right conditions the satellite path is not a compromise — it is the physics-optimal path.</w:t>
      </w:r>
    </w:p>
    <w:bookmarkEnd w:id="37"/>
    <w:bookmarkStart w:id="38" w:name="X43b2d4d43e261bb53e9a999c6a8467bea143c2c"/>
    <w:p>
      <w:pPr>
        <w:pStyle w:val="Heading2"/>
      </w:pPr>
      <w:r>
        <w:t xml:space="preserve">5.2 5G: Lower Latency Through Architecture, Not Just Physics</w:t>
      </w:r>
    </w:p>
    <w:p>
      <w:pPr>
        <w:pStyle w:val="FirstParagraph"/>
      </w:pPr>
      <w:r>
        <w:t xml:space="preserve">5G reduces latency through two distinct mechanisms:</w:t>
      </w:r>
    </w:p>
    <w:p>
      <w:pPr>
        <w:pStyle w:val="BodyText"/>
      </w:pPr>
      <w:r>
        <w:rPr>
          <w:b/>
          <w:bCs/>
        </w:rPr>
        <w:t xml:space="preserve">The radio mechanism:</w:t>
      </w:r>
      <w:r>
        <w:t xml:space="preserve"> </w:t>
      </w:r>
      <w:r>
        <w:t xml:space="preserve">5G’s shorter radio frame duration (0.125 ms slot time versus 1 ms in LTE) reduces the fundamental waiting time. Practical mid-band sub-6 GHz 5G achieves 5–10 ms across the air interface.</w:t>
      </w:r>
    </w:p>
    <w:p>
      <w:pPr>
        <w:pStyle w:val="BodyText"/>
      </w:pPr>
      <w:r>
        <w:rPr>
          <w:b/>
          <w:bCs/>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38"/>
    <w:bookmarkEnd w:id="39"/>
    <w:bookmarkStart w:id="44" w:name="X1d6bf0764d5dd00823317c255ee2bc814a3d92a"/>
    <w:p>
      <w:pPr>
        <w:pStyle w:val="Heading1"/>
      </w:pPr>
      <w:r>
        <w:t xml:space="preserve">6. What Application-Aware Networking Actually Means</w:t>
      </w:r>
    </w:p>
    <w:p>
      <w:pPr>
        <w:pStyle w:val="CaptionedFigure"/>
      </w:pPr>
      <w:r>
        <w:drawing>
          <wp:inline>
            <wp:extent cx="5334000" cy="2844800"/>
            <wp:effectExtent b="0" l="0" r="0" t="0"/>
            <wp:docPr descr="Packet-Layer Network vs. Application-Aware Network" title="" id="41" name="Picture"/>
            <a:graphic>
              <a:graphicData uri="http://schemas.openxmlformats.org/drawingml/2006/picture">
                <pic:pic>
                  <pic:nvPicPr>
                    <pic:cNvPr descr="figs/mf-fig-03-packet-vs-aan.png" id="42" name="Picture"/>
                    <pic:cNvPicPr>
                      <a:picLocks noChangeArrowheads="1" noChangeAspect="1"/>
                    </pic:cNvPicPr>
                  </pic:nvPicPr>
                  <pic:blipFill>
                    <a:blip r:embed="rId4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“application-aware networking”</w:t>
      </w:r>
      <w:r>
        <w:t xml:space="preserve"> </w:t>
      </w:r>
      <w:r>
        <w:t xml:space="preserve">appears in policy documents and vendor briefings without ever being explained in plain terms. Here is the plain version.</w:t>
      </w:r>
    </w:p>
    <w:p>
      <w:pPr>
        <w:pStyle w:val="BodyText"/>
      </w:pPr>
      <w:r>
        <w:rPr>
          <w:b/>
          <w:bCs/>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
          <w:bCs/>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
          <w:bCs/>
        </w:rPr>
        <w:t xml:space="preserve">The policy question that changes everything:</w:t>
      </w:r>
      <w:r>
        <w:t xml:space="preserve"> </w:t>
      </w:r>
      <w:r>
        <w:t xml:space="preserve">Packet-level enforcement asks:</w:t>
      </w:r>
      <w:r>
        <w:t xml:space="preserve"> </w:t>
      </w:r>
      <w:r>
        <w:rPr>
          <w:i/>
          <w:iCs/>
        </w:rPr>
        <w:t xml:space="preserve">should this IP address be allowed to reach this port?</w:t>
      </w:r>
      <w:r>
        <w:t xml:space="preserve"> </w:t>
      </w:r>
      <w:r>
        <w:t xml:space="preserve">Application-aware enforcement asks:</w:t>
      </w:r>
      <w:r>
        <w:t xml:space="preserve"> </w:t>
      </w:r>
      <w:r>
        <w:rPr>
          <w:i/>
          <w:iCs/>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43" w:name="X5d2cc7b1841043b384155f0a81933706e9c6a6f"/>
    <w:p>
      <w:pPr>
        <w:pStyle w:val="Heading2"/>
      </w:pPr>
      <w:r>
        <w:t xml:space="preserve">6.1 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43"/>
    <w:bookmarkEnd w:id="44"/>
    <w:bookmarkStart w:id="55" w:name="sd-wan-active-active-multipath"/>
    <w:p>
      <w:pPr>
        <w:pStyle w:val="Heading1"/>
      </w:pPr>
      <w:r>
        <w:t xml:space="preserve">7. SD-WAN Active-Active Multipath</w:t>
      </w:r>
    </w:p>
    <w:p>
      <w:pPr>
        <w:pStyle w:val="CaptionedFigure"/>
      </w:pPr>
      <w:r>
        <w:drawing>
          <wp:inline>
            <wp:extent cx="5334000" cy="2844800"/>
            <wp:effectExtent b="0" l="0" r="0" t="0"/>
            <wp:docPr descr="SD-WAN Active-Active Multipath: Four Transports, One Application View" title="" id="46" name="Picture"/>
            <a:graphic>
              <a:graphicData uri="http://schemas.openxmlformats.org/drawingml/2006/picture">
                <pic:pic>
                  <pic:nvPicPr>
                    <pic:cNvPr descr="figs/mf-fig-04-multipath.png" id="47" name="Picture"/>
                    <pic:cNvPicPr>
                      <a:picLocks noChangeArrowheads="1" noChangeAspect="1"/>
                    </pic:cNvPicPr>
                  </pic:nvPicPr>
                  <pic:blipFill>
                    <a:blip r:embed="rId4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
          <w:bCs/>
        </w:rPr>
        <w:t xml:space="preserve">latency</w:t>
      </w:r>
      <w:r>
        <w:t xml:space="preserve">,</w:t>
      </w:r>
      <w:r>
        <w:t xml:space="preserve"> </w:t>
      </w:r>
      <w:r>
        <w:rPr>
          <w:b/>
          <w:bCs/>
        </w:rPr>
        <w:t xml:space="preserve">jitter</w:t>
      </w:r>
      <w:r>
        <w:t xml:space="preserve">, and</w:t>
      </w:r>
      <w:r>
        <w:t xml:space="preserve"> </w:t>
      </w:r>
      <w:r>
        <w:rPr>
          <w:b/>
          <w:bCs/>
        </w:rPr>
        <w:t xml:space="preserve">packet loss</w:t>
      </w:r>
      <w:r>
        <w:t xml:space="preserve">. When a path degrades, the overlay knows within seconds.</w:t>
      </w:r>
    </w:p>
    <w:bookmarkStart w:id="48" w:name="X375c3c0c7c01863ac87bd4c23489e5042dc6a37"/>
    <w:p>
      <w:pPr>
        <w:pStyle w:val="Heading2"/>
      </w:pPr>
      <w:r>
        <w:t xml:space="preserve">7.1 Forward Error Correction: Recovering Toward the Physics Floor</w:t>
      </w:r>
    </w:p>
    <w:p>
      <w:pPr>
        <w:pStyle w:val="FirstParagraph"/>
      </w:pPr>
      <w:r>
        <w:rPr>
          <w:b/>
          <w:bCs/>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48"/>
    <w:bookmarkStart w:id="52" w:name="X7c36cbc0947d3d1b8627c481d917135f952a498"/>
    <w:p>
      <w:pPr>
        <w:pStyle w:val="Heading2"/>
      </w:pPr>
      <w:r>
        <w:t xml:space="preserve">7.2 Active-Active vs. Active-Passive: The Failover That Is Not a Failover</w:t>
      </w:r>
    </w:p>
    <w:p>
      <w:pPr>
        <w:pStyle w:val="FirstParagraph"/>
      </w:pPr>
      <w:r>
        <w:t xml:space="preserve">Traditional WAN design is</w:t>
      </w:r>
      <w:r>
        <w:t xml:space="preserve"> </w:t>
      </w:r>
      <w:r>
        <w:rPr>
          <w:b/>
          <w:bCs/>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
          <w:bCs/>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
          <w:bCs/>
        </w:rPr>
        <w:t xml:space="preserve">The Teams call did not drop. The authentication session did not timeout.</w:t>
      </w:r>
    </w:p>
    <w:p>
      <w:pPr>
        <w:pStyle w:val="CaptionedFigure"/>
      </w:pPr>
      <w:r>
        <w:drawing>
          <wp:inline>
            <wp:extent cx="5334000" cy="2844800"/>
            <wp:effectExtent b="0" l="0" r="0" t="0"/>
            <wp:docPr descr="How Kerberos Breaks Under Modern Network Paths: Multi-Path Failover Versus Session-Bound Tickets" title="" id="50" name="Picture"/>
            <a:graphic>
              <a:graphicData uri="http://schemas.openxmlformats.org/drawingml/2006/picture">
                <pic:pic>
                  <pic:nvPicPr>
                    <pic:cNvPr descr="figs/mf-fig-10-kerberos-breaks.png" id="51" name="Picture"/>
                    <pic:cNvPicPr>
                      <a:picLocks noChangeArrowheads="1" noChangeAspect="1"/>
                    </pic:cNvPicPr>
                  </pic:nvPicPr>
                  <pic:blipFill>
                    <a:blip r:embed="rId4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How Kerberos Breaks Under Modern Network Paths: Multi-Path Failover Versus Session-Bound Tickets</w:t>
      </w:r>
    </w:p>
    <w:p>
      <w:pPr>
        <w:pStyle w:val="BlockText"/>
      </w:pPr>
      <w:r>
        <w:rPr>
          <w:b/>
          <w:bCs/>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“logon takes 45 seconds”</w:t>
      </w:r>
      <w:r>
        <w:t xml:space="preserve"> </w:t>
      </w:r>
      <w:r>
        <w:t xml:space="preserve">symptom field offices report. Under active-active multipath, the request was already distributed across multiple paths. The user experiences a 50 ms pause rather than a 30-second timeout.</w:t>
      </w:r>
    </w:p>
    <w:bookmarkEnd w:id="52"/>
    <w:bookmarkStart w:id="53" w:name="X8655c2a6f1cf7da74d2464aa955677d1198371a"/>
    <w:p>
      <w:pPr>
        <w:pStyle w:val="Heading2"/>
      </w:pPr>
      <w:r>
        <w:t xml:space="preserve">7.3 Why</w:t>
      </w:r>
      <w:r>
        <w:t xml:space="preserve"> </w:t>
      </w:r>
      <w:r>
        <w:t xml:space="preserve">“DIA to M365 Will Solve It”</w:t>
      </w:r>
      <w:r>
        <w:t xml:space="preserve"> </w:t>
      </w:r>
      <w:r>
        <w:t xml:space="preserve">Is Half the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DIA Circuit Only</w:t>
            </w:r>
          </w:p>
        </w:tc>
        <w:tc>
          <w:tcPr/>
          <w:p>
            <w:pPr>
              <w:pStyle w:val="Compact"/>
            </w:pPr>
            <w:r>
              <w:t xml:space="preserve">SD-WAN Intelligent Overlay</w:t>
            </w:r>
          </w:p>
        </w:tc>
      </w:tr>
      <w:tr>
        <w:tc>
          <w:tcPr/>
          <w:p>
            <w:pPr>
              <w:pStyle w:val="Compact"/>
            </w:pPr>
            <w:r>
              <w:t xml:space="preserve">Eliminates MPLS geographic hairpin to cloud</w:t>
            </w:r>
          </w:p>
        </w:tc>
        <w:tc>
          <w:tcPr/>
          <w:p>
            <w:pPr>
              <w:pStyle w:val="Compact"/>
            </w:pPr>
            <w:r>
              <w:t xml:space="preserve">✔ Yes</w:t>
            </w:r>
          </w:p>
        </w:tc>
        <w:tc>
          <w:tcPr/>
          <w:p>
            <w:pPr>
              <w:pStyle w:val="Compact"/>
            </w:pPr>
            <w:r>
              <w:t xml:space="preserve">✔ Yes</w:t>
            </w:r>
          </w:p>
        </w:tc>
      </w:tr>
      <w:tr>
        <w:tc>
          <w:tcPr/>
          <w:p>
            <w:pPr>
              <w:pStyle w:val="Compact"/>
            </w:pPr>
            <w:r>
              <w:t xml:space="preserve">Visibility into path quality (latency, jitter, loss)</w:t>
            </w:r>
          </w:p>
        </w:tc>
        <w:tc>
          <w:tcPr/>
          <w:p>
            <w:pPr>
              <w:pStyle w:val="Compact"/>
            </w:pPr>
            <w:r>
              <w:t xml:space="preserve">✘ None</w:t>
            </w:r>
          </w:p>
        </w:tc>
        <w:tc>
          <w:tcPr/>
          <w:p>
            <w:pPr>
              <w:pStyle w:val="Compact"/>
            </w:pPr>
            <w:r>
              <w:t xml:space="preserve">✔ Continuous, per-transport</w:t>
            </w:r>
          </w:p>
        </w:tc>
      </w:tr>
      <w:tr>
        <w:tc>
          <w:tcPr/>
          <w:p>
            <w:pPr>
              <w:pStyle w:val="Compact"/>
            </w:pPr>
            <w:r>
              <w:t xml:space="preserve">Responds to path degradation before users notice</w:t>
            </w:r>
          </w:p>
        </w:tc>
        <w:tc>
          <w:tcPr/>
          <w:p>
            <w:pPr>
              <w:pStyle w:val="Compact"/>
            </w:pPr>
            <w:r>
              <w:t xml:space="preserve">✘ None</w:t>
            </w:r>
          </w:p>
        </w:tc>
        <w:tc>
          <w:tcPr/>
          <w:p>
            <w:pPr>
              <w:pStyle w:val="Compact"/>
            </w:pPr>
            <w:r>
              <w:t xml:space="preserve">✔ Sub-second reweighting</w:t>
            </w:r>
          </w:p>
        </w:tc>
      </w:tr>
      <w:tr>
        <w:tc>
          <w:tcPr/>
          <w:p>
            <w:pPr>
              <w:pStyle w:val="Compact"/>
            </w:pPr>
            <w:r>
              <w:t xml:space="preserve">Splits a single conversation across multiple paths simultaneously</w:t>
            </w:r>
          </w:p>
        </w:tc>
        <w:tc>
          <w:tcPr/>
          <w:p>
            <w:pPr>
              <w:pStyle w:val="Compact"/>
            </w:pPr>
            <w:r>
              <w:t xml:space="preserve">✘ One path only</w:t>
            </w:r>
          </w:p>
        </w:tc>
        <w:tc>
          <w:tcPr/>
          <w:p>
            <w:pPr>
              <w:pStyle w:val="Compact"/>
            </w:pPr>
            <w:r>
              <w:t xml:space="preserve">✔ Active-active multipath with resequencing</w:t>
            </w:r>
          </w:p>
        </w:tc>
      </w:tr>
      <w:tr>
        <w:tc>
          <w:tcPr/>
          <w:p>
            <w:pPr>
              <w:pStyle w:val="Compact"/>
            </w:pPr>
            <w:r>
              <w:t xml:space="preserve">Aggregates bandwidth from all transports</w:t>
            </w:r>
          </w:p>
        </w:tc>
        <w:tc>
          <w:tcPr/>
          <w:p>
            <w:pPr>
              <w:pStyle w:val="Compact"/>
            </w:pPr>
            <w:r>
              <w:t xml:space="preserve">✘ One path only</w:t>
            </w:r>
          </w:p>
        </w:tc>
        <w:tc>
          <w:tcPr/>
          <w:p>
            <w:pPr>
              <w:pStyle w:val="Compact"/>
            </w:pPr>
            <w:r>
              <w:t xml:space="preserve">✔ Bonded capacity = sum of all paths</w:t>
            </w:r>
          </w:p>
        </w:tc>
      </w:tr>
      <w:tr>
        <w:tc>
          <w:tcPr/>
          <w:p>
            <w:pPr>
              <w:pStyle w:val="Compact"/>
            </w:pPr>
            <w:r>
              <w:t xml:space="preserve">Routes audio, video, and data streams of one call to different paths</w:t>
            </w:r>
          </w:p>
        </w:tc>
        <w:tc>
          <w:tcPr/>
          <w:p>
            <w:pPr>
              <w:pStyle w:val="Compact"/>
            </w:pPr>
            <w:r>
              <w:t xml:space="preserve">✘ None</w:t>
            </w:r>
          </w:p>
        </w:tc>
        <w:tc>
          <w:tcPr/>
          <w:p>
            <w:pPr>
              <w:pStyle w:val="Compact"/>
            </w:pPr>
            <w:r>
              <w:t xml:space="preserve">✔ Per-stream application steering</w:t>
            </w:r>
          </w:p>
        </w:tc>
      </w:tr>
      <w:tr>
        <w:tc>
          <w:tcPr/>
          <w:p>
            <w:pPr>
              <w:pStyle w:val="Compact"/>
            </w:pPr>
            <w:r>
              <w:t xml:space="preserve">Fails over within milliseconds without dropping sessions</w:t>
            </w:r>
          </w:p>
        </w:tc>
        <w:tc>
          <w:tcPr/>
          <w:p>
            <w:pPr>
              <w:pStyle w:val="Compact"/>
            </w:pPr>
            <w:r>
              <w:t xml:space="preserve">✘ 30–90 second switchover</w:t>
            </w:r>
          </w:p>
        </w:tc>
        <w:tc>
          <w:tcPr/>
          <w:p>
            <w:pPr>
              <w:pStyle w:val="Compact"/>
            </w:pPr>
            <w:r>
              <w:t xml:space="preserve">✔ Seamless — all paths already active</w:t>
            </w:r>
          </w:p>
        </w:tc>
      </w:tr>
      <w:tr>
        <w:tc>
          <w:tcPr/>
          <w:p>
            <w:pPr>
              <w:pStyle w:val="Compact"/>
            </w:pPr>
            <w:r>
              <w:t xml:space="preserve">Uses 5G local breakout when faster than wireline</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Uses LEO satellite vacuum path when faster than fiber</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Applies FEC to recover toward physics minimum on lossy paths</w:t>
            </w:r>
          </w:p>
        </w:tc>
        <w:tc>
          <w:tcPr/>
          <w:p>
            <w:pPr>
              <w:pStyle w:val="Compact"/>
            </w:pPr>
            <w:r>
              <w:t xml:space="preserve">✘ None</w:t>
            </w:r>
          </w:p>
        </w:tc>
        <w:tc>
          <w:tcPr/>
          <w:p>
            <w:pPr>
              <w:pStyle w:val="Compact"/>
            </w:pPr>
            <w:r>
              <w:t xml:space="preserve">✔ Per-transport FEC</w:t>
            </w:r>
          </w:p>
        </w:tc>
      </w:tr>
      <w:tr>
        <w:tc>
          <w:tcPr/>
          <w:p>
            <w:pPr>
              <w:pStyle w:val="Compact"/>
            </w:pPr>
            <w:r>
              <w:t xml:space="preserve">Provides audit trail of path decisions (TIC 3.0 / AU-12)</w:t>
            </w:r>
          </w:p>
        </w:tc>
        <w:tc>
          <w:tcPr/>
          <w:p>
            <w:pPr>
              <w:pStyle w:val="Compact"/>
            </w:pPr>
            <w:r>
              <w:t xml:space="preserve">✘ None</w:t>
            </w:r>
          </w:p>
        </w:tc>
        <w:tc>
          <w:tcPr/>
          <w:p>
            <w:pPr>
              <w:pStyle w:val="Compact"/>
            </w:pPr>
            <w:r>
              <w:t xml:space="preserve">✔ Every decision is a logged event</w:t>
            </w:r>
          </w:p>
        </w:tc>
      </w:tr>
    </w:tbl>
    <w:p>
      <w:pPr>
        <w:pStyle w:val="BlockText"/>
      </w:pPr>
      <w:r>
        <w:rPr>
          <w:b/>
          <w:bCs/>
        </w:rPr>
        <w:t xml:space="preserve">Closure Necessity — SC-8 on DIA circuits.</w:t>
      </w:r>
      <w:r>
        <w:t xml:space="preserve"> </w:t>
      </w:r>
      <w:r>
        <w:t xml:space="preserve">A DIA circuit carries traffic unencrypted at the network layer. Application-layer TLS provides no network-layer guarantee and no coverage for non-TLS flows.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bookmarkEnd w:id="53"/>
    <w:bookmarkStart w:id="54" w:name="Xc717aabd4ab02927b7deab34227116e9e7db38d"/>
    <w:p>
      <w:pPr>
        <w:pStyle w:val="Heading2"/>
      </w:pPr>
      <w:r>
        <w:t xml:space="preserve">7.4 What the Commercial World Figured Out — and When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Current Federal Practice</w:t>
            </w:r>
          </w:p>
        </w:tc>
        <w:tc>
          <w:tcPr/>
          <w:p>
            <w:pPr>
              <w:pStyle w:val="Compact"/>
            </w:pPr>
            <w:r>
              <w:t xml:space="preserve">When Commercial Moved On</w:t>
            </w:r>
          </w:p>
        </w:tc>
        <w:tc>
          <w:tcPr/>
          <w:p>
            <w:pPr>
              <w:pStyle w:val="Compact"/>
            </w:pPr>
            <w:r>
              <w:t xml:space="preserve">What Replaced It</w:t>
            </w:r>
          </w:p>
        </w:tc>
        <w:tc>
          <w:tcPr/>
          <w:p>
            <w:pPr>
              <w:pStyle w:val="Compact"/>
            </w:pPr>
            <w:r>
              <w:t xml:space="preserve">Why</w:t>
            </w:r>
          </w:p>
        </w:tc>
      </w:tr>
      <w:tr>
        <w:tc>
          <w:tcPr/>
          <w:p>
            <w:pPr>
              <w:pStyle w:val="Compact"/>
            </w:pPr>
            <w:r>
              <w:t xml:space="preserve">MPLS for all branch connectivity</w:t>
            </w:r>
          </w:p>
        </w:tc>
        <w:tc>
          <w:tcPr/>
          <w:p>
            <w:pPr>
              <w:pStyle w:val="Compact"/>
            </w:pPr>
            <w:r>
              <w:t xml:space="preserve">2014–2018</w:t>
            </w:r>
          </w:p>
        </w:tc>
        <w:tc>
          <w:tcPr/>
          <w:p>
            <w:pPr>
              <w:pStyle w:val="Compact"/>
            </w:pPr>
            <w:r>
              <w:t xml:space="preserve">SD-WAN on broadband + LTE</w:t>
            </w:r>
          </w:p>
        </w:tc>
        <w:tc>
          <w:tcPr/>
          <w:p>
            <w:pPr>
              <w:pStyle w:val="Compact"/>
            </w:pPr>
            <w:r>
              <w:t xml:space="preserve">Cost, flexibility, local breakout</w:t>
            </w:r>
          </w:p>
        </w:tc>
      </w:tr>
      <w:tr>
        <w:tc>
          <w:tcPr/>
          <w:p>
            <w:pPr>
              <w:pStyle w:val="Compact"/>
            </w:pPr>
            <w:r>
              <w:t xml:space="preserve">Central internet breakout through DC</w:t>
            </w:r>
          </w:p>
        </w:tc>
        <w:tc>
          <w:tcPr/>
          <w:p>
            <w:pPr>
              <w:pStyle w:val="Compact"/>
            </w:pPr>
            <w:r>
              <w:t xml:space="preserve">2016–2019</w:t>
            </w:r>
          </w:p>
        </w:tc>
        <w:tc>
          <w:tcPr/>
          <w:p>
            <w:pPr>
              <w:pStyle w:val="Compact"/>
            </w:pPr>
            <w:r>
              <w:t xml:space="preserve">Local internet breakout at branch</w:t>
            </w:r>
          </w:p>
        </w:tc>
        <w:tc>
          <w:tcPr/>
          <w:p>
            <w:pPr>
              <w:pStyle w:val="Compact"/>
            </w:pPr>
            <w:r>
              <w:t xml:space="preserve">Cloud apps do not need to go through DC</w:t>
            </w:r>
          </w:p>
        </w:tc>
      </w:tr>
      <w:tr>
        <w:tc>
          <w:tcPr/>
          <w:p>
            <w:pPr>
              <w:pStyle w:val="Compact"/>
            </w:pPr>
            <w:r>
              <w:t xml:space="preserve">VPN as primary remote access</w:t>
            </w:r>
          </w:p>
        </w:tc>
        <w:tc>
          <w:tcPr/>
          <w:p>
            <w:pPr>
              <w:pStyle w:val="Compact"/>
            </w:pPr>
            <w:r>
              <w:t xml:space="preserve">2019–2021</w:t>
            </w:r>
          </w:p>
        </w:tc>
        <w:tc>
          <w:tcPr/>
          <w:p>
            <w:pPr>
              <w:pStyle w:val="Compact"/>
            </w:pPr>
            <w:r>
              <w:t xml:space="preserve">ZTNA / SASE overlay</w:t>
            </w:r>
          </w:p>
        </w:tc>
        <w:tc>
          <w:tcPr/>
          <w:p>
            <w:pPr>
              <w:pStyle w:val="Compact"/>
            </w:pPr>
            <w:r>
              <w:t xml:space="preserve">Per-app access replaces per-network trust</w:t>
            </w:r>
          </w:p>
        </w:tc>
      </w:tr>
      <w:tr>
        <w:tc>
          <w:tcPr/>
          <w:p>
            <w:pPr>
              <w:pStyle w:val="Compact"/>
            </w:pPr>
            <w:r>
              <w:t xml:space="preserve">Windows DNS / per-site DNS servers</w:t>
            </w:r>
          </w:p>
        </w:tc>
        <w:tc>
          <w:tcPr/>
          <w:p>
            <w:pPr>
              <w:pStyle w:val="Compact"/>
            </w:pPr>
            <w:r>
              <w:t xml:space="preserve">2017–2020</w:t>
            </w:r>
          </w:p>
        </w:tc>
        <w:tc>
          <w:tcPr/>
          <w:p>
            <w:pPr>
              <w:pStyle w:val="Compact"/>
            </w:pPr>
            <w:r>
              <w:t xml:space="preserve">Unified DDI (InfoBlox, BlueCat)</w:t>
            </w:r>
          </w:p>
        </w:tc>
        <w:tc>
          <w:tcPr/>
          <w:p>
            <w:pPr>
              <w:pStyle w:val="Compact"/>
            </w:pPr>
            <w:r>
              <w:t xml:space="preserve">DNS became a security control surface</w:t>
            </w:r>
          </w:p>
        </w:tc>
      </w:tr>
      <w:tr>
        <w:tc>
          <w:tcPr/>
          <w:p>
            <w:pPr>
              <w:pStyle w:val="Compact"/>
            </w:pPr>
            <w:r>
              <w:t xml:space="preserve">DHCP as invisible per-site utility</w:t>
            </w:r>
          </w:p>
        </w:tc>
        <w:tc>
          <w:tcPr/>
          <w:p>
            <w:pPr>
              <w:pStyle w:val="Compact"/>
            </w:pPr>
            <w:r>
              <w:t xml:space="preserve">2017–2020</w:t>
            </w:r>
          </w:p>
        </w:tc>
        <w:tc>
          <w:tcPr/>
          <w:p>
            <w:pPr>
              <w:pStyle w:val="Compact"/>
            </w:pPr>
            <w:r>
              <w:t xml:space="preserve">IPAM as inventory and compliance evidence</w:t>
            </w:r>
          </w:p>
        </w:tc>
        <w:tc>
          <w:tcPr/>
          <w:p>
            <w:pPr>
              <w:pStyle w:val="Compact"/>
            </w:pPr>
            <w:r>
              <w:t xml:space="preserve">Zero Trust requires authoritative device inventory</w:t>
            </w:r>
          </w:p>
        </w:tc>
      </w:tr>
      <w:tr>
        <w:tc>
          <w:tcPr/>
          <w:p>
            <w:pPr>
              <w:pStyle w:val="Compact"/>
            </w:pPr>
            <w:r>
              <w:t xml:space="preserve">Network-layer firewall as primary security</w:t>
            </w:r>
          </w:p>
        </w:tc>
        <w:tc>
          <w:tcPr/>
          <w:p>
            <w:pPr>
              <w:pStyle w:val="Compact"/>
            </w:pPr>
            <w:r>
              <w:t xml:space="preserve">2018–2022</w:t>
            </w:r>
          </w:p>
        </w:tc>
        <w:tc>
          <w:tcPr/>
          <w:p>
            <w:pPr>
              <w:pStyle w:val="Compact"/>
            </w:pPr>
            <w:r>
              <w:t xml:space="preserve">Application-layer enforcement (SASE, ZTNA)</w:t>
            </w:r>
          </w:p>
        </w:tc>
        <w:tc>
          <w:tcPr/>
          <w:p>
            <w:pPr>
              <w:pStyle w:val="Compact"/>
            </w:pPr>
            <w:r>
              <w:t xml:space="preserve">Packets carry no useful identity or intent</w:t>
            </w:r>
          </w:p>
        </w:tc>
      </w:tr>
      <w:tr>
        <w:tc>
          <w:tcPr/>
          <w:p>
            <w:pPr>
              <w:pStyle w:val="Compact"/>
            </w:pPr>
            <w:r>
              <w:t xml:space="preserve">Session-based application authentication</w:t>
            </w:r>
          </w:p>
        </w:tc>
        <w:tc>
          <w:tcPr/>
          <w:p>
            <w:pPr>
              <w:pStyle w:val="Compact"/>
            </w:pPr>
            <w:r>
              <w:t xml:space="preserve">2015–2019</w:t>
            </w:r>
          </w:p>
        </w:tc>
        <w:tc>
          <w:tcPr/>
          <w:p>
            <w:pPr>
              <w:pStyle w:val="Compact"/>
            </w:pPr>
            <w:r>
              <w:t xml:space="preserve">Token-based (OAuth 2.0 / OIDC)</w:t>
            </w:r>
          </w:p>
        </w:tc>
        <w:tc>
          <w:tcPr/>
          <w:p>
            <w:pPr>
              <w:pStyle w:val="Compact"/>
            </w:pPr>
            <w:r>
              <w:t xml:space="preserve">Sessions break across WAN; tokens are stateless</w:t>
            </w:r>
          </w:p>
        </w:tc>
      </w:tr>
    </w:tbl>
    <w:p>
      <w:pPr>
        <w:pStyle w:val="BlockText"/>
      </w:pPr>
      <w:r>
        <w:rPr>
          <w:b/>
          <w:bCs/>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54"/>
    <w:bookmarkEnd w:id="55"/>
    <w:bookmarkStart w:id="57" w:name="X50c43ddecf199ebf91917431a313350dc266772"/>
    <w:p>
      <w:pPr>
        <w:pStyle w:val="Heading1"/>
      </w:pPr>
      <w:r>
        <w:t xml:space="preserve">8. 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What It Requires</w:t>
            </w:r>
          </w:p>
        </w:tc>
        <w:tc>
          <w:tcPr/>
          <w:p>
            <w:pPr>
              <w:pStyle w:val="Compact"/>
            </w:pPr>
            <w:r>
              <w:t xml:space="preserve">What Provides It</w:t>
            </w:r>
          </w:p>
        </w:tc>
      </w:tr>
      <w:tr>
        <w:tc>
          <w:tcPr/>
          <w:p>
            <w:pPr>
              <w:pStyle w:val="Compact"/>
            </w:pPr>
            <w:r>
              <w:t xml:space="preserve">AC-4 Information Flow Enforcement</w:t>
            </w:r>
          </w:p>
        </w:tc>
        <w:tc>
          <w:tcPr/>
          <w:p>
            <w:pPr>
              <w:pStyle w:val="Compact"/>
            </w:pPr>
            <w:r>
              <w:t xml:space="preserve">Application-layer enforcement identifying the destination application, not just the destination IP</w:t>
            </w:r>
          </w:p>
        </w:tc>
        <w:tc>
          <w:tcPr/>
          <w:p>
            <w:pPr>
              <w:pStyle w:val="Compact"/>
            </w:pPr>
            <w:r>
              <w:t xml:space="preserve">CASB in SASE stack</w:t>
            </w:r>
          </w:p>
        </w:tc>
      </w:tr>
      <w:tr>
        <w:tc>
          <w:tcPr/>
          <w:p>
            <w:pPr>
              <w:pStyle w:val="Compact"/>
            </w:pPr>
            <w:r>
              <w:t xml:space="preserve">SC-7 Boundary Protection</w:t>
            </w:r>
          </w:p>
        </w:tc>
        <w:tc>
          <w:tcPr/>
          <w:p>
            <w:pPr>
              <w:pStyle w:val="Compact"/>
            </w:pPr>
            <w:r>
              <w:t xml:space="preserve">Application-layer inspection; detect C2 on port 443, exfiltration in DNS</w:t>
            </w:r>
          </w:p>
        </w:tc>
        <w:tc>
          <w:tcPr/>
          <w:p>
            <w:pPr>
              <w:pStyle w:val="Compact"/>
            </w:pPr>
            <w:r>
              <w:t xml:space="preserve">SWG / FWaaS in SASE stack</w:t>
            </w:r>
          </w:p>
        </w:tc>
      </w:tr>
      <w:tr>
        <w:tc>
          <w:tcPr/>
          <w:p>
            <w:pPr>
              <w:pStyle w:val="Compact"/>
            </w:pPr>
            <w:r>
              <w:t xml:space="preserve">SC-8 Transmission Confidentiality and Integrity</w:t>
            </w:r>
          </w:p>
        </w:tc>
        <w:tc>
          <w:tcPr/>
          <w:p>
            <w:pPr>
              <w:pStyle w:val="Compact"/>
            </w:pPr>
            <w:r>
              <w:t xml:space="preserve">Network-layer encryption</w:t>
            </w:r>
          </w:p>
        </w:tc>
        <w:tc>
          <w:tcPr/>
          <w:p>
            <w:pPr>
              <w:pStyle w:val="Compact"/>
            </w:pPr>
            <w:r>
              <w:t xml:space="preserve">SD-WAN IPsec tunnel — DIA alone encrypts nothing</w:t>
            </w:r>
          </w:p>
        </w:tc>
      </w:tr>
      <w:tr>
        <w:tc>
          <w:tcPr/>
          <w:p>
            <w:pPr>
              <w:pStyle w:val="Compact"/>
            </w:pPr>
            <w:r>
              <w:t xml:space="preserve">SI-3 Malware Protection</w:t>
            </w:r>
          </w:p>
        </w:tc>
        <w:tc>
          <w:tcPr/>
          <w:p>
            <w:pPr>
              <w:pStyle w:val="Compact"/>
            </w:pPr>
            <w:r>
              <w:t xml:space="preserve">Inline malware inspection at appropriate locations</w:t>
            </w:r>
          </w:p>
        </w:tc>
        <w:tc>
          <w:tcPr/>
          <w:p>
            <w:pPr>
              <w:pStyle w:val="Compact"/>
            </w:pPr>
            <w:r>
              <w:t xml:space="preserve">SWG with SSL inspection in SASE stack</w:t>
            </w:r>
          </w:p>
        </w:tc>
      </w:tr>
      <w:tr>
        <w:tc>
          <w:tcPr/>
          <w:p>
            <w:pPr>
              <w:pStyle w:val="Compact"/>
            </w:pPr>
            <w:r>
              <w:t xml:space="preserve">SI-4 System Monitoring</w:t>
            </w:r>
          </w:p>
        </w:tc>
        <w:tc>
          <w:tcPr/>
          <w:p>
            <w:pPr>
              <w:pStyle w:val="Compact"/>
            </w:pPr>
            <w:r>
              <w:t xml:space="preserve">Application-layer telemetry — user, device, app, data, behavioral pattern</w:t>
            </w:r>
          </w:p>
        </w:tc>
        <w:tc>
          <w:tcPr/>
          <w:p>
            <w:pPr>
              <w:pStyle w:val="Compact"/>
            </w:pPr>
            <w:r>
              <w:t xml:space="preserve">AAN application telemetry</w:t>
            </w:r>
          </w:p>
        </w:tc>
      </w:tr>
      <w:tr>
        <w:tc>
          <w:tcPr/>
          <w:p>
            <w:pPr>
              <w:pStyle w:val="Compact"/>
            </w:pPr>
            <w:r>
              <w:t xml:space="preserve">AU-2 / AU-12 Audit Events / Audit Record Generation</w:t>
            </w:r>
          </w:p>
        </w:tc>
        <w:tc>
          <w:tcPr/>
          <w:p>
            <w:pPr>
              <w:pStyle w:val="Compact"/>
            </w:pPr>
            <w:r>
              <w:t xml:space="preserve">User Z on device D accessed application A, performed action V on data type C — not just IP flows</w:t>
            </w:r>
          </w:p>
        </w:tc>
        <w:tc>
          <w:tcPr/>
          <w:p>
            <w:pPr>
              <w:pStyle w:val="Compact"/>
            </w:pPr>
            <w:r>
              <w:t xml:space="preserve">Application-layer logging via AAN</w:t>
            </w:r>
          </w:p>
        </w:tc>
      </w:tr>
      <w:tr>
        <w:tc>
          <w:tcPr/>
          <w:p>
            <w:pPr>
              <w:pStyle w:val="Compact"/>
            </w:pPr>
            <w:r>
              <w:t xml:space="preserve">CA-7 Continuous Monitoring</w:t>
            </w:r>
          </w:p>
        </w:tc>
        <w:tc>
          <w:tcPr/>
          <w:p>
            <w:pPr>
              <w:pStyle w:val="Compact"/>
            </w:pPr>
            <w:r>
              <w:t xml:space="preserve">Per-session: identity verified, device posture, access consistent with policy — machine-readable</w:t>
            </w:r>
          </w:p>
        </w:tc>
        <w:tc>
          <w:tcPr/>
          <w:p>
            <w:pPr>
              <w:pStyle w:val="Compact"/>
            </w:pPr>
            <w:r>
              <w:t xml:space="preserve">AAN and SASE stack</w:t>
            </w:r>
          </w:p>
        </w:tc>
      </w:tr>
    </w:tbl>
    <w:p>
      <w:pPr>
        <w:pStyle w:val="BlockText"/>
      </w:pPr>
      <w:r>
        <w:rPr>
          <w:b/>
          <w:bCs/>
        </w:rPr>
        <w:t xml:space="preserve">Closure Necessity — SI-4 on transport.</w:t>
      </w:r>
      <w:r>
        <w:t xml:space="preserve"> </w:t>
      </w:r>
      <w:r>
        <w:t xml:space="preserve">SI-4 requires monitoring the system to detect attacks and indicators of potential attacks, including monitoring inbound and outbound communications traffic for unusual or unauthorized activities or conditions. A pipe has no telemetry: a bare DIA circuit reports link state and byte counts, nothing more. Flow records collected off the circuit see five-tuples — IP addresses and ports — not users, devices, applications, or data types, and five-tuples cannot distinguish authorized use from exfiltration on port 443. The only source of application-layer telemetry on the transport is the overlay that classifies it: SD-WAN DPI identifying the application per flow, and the SASE stack recording identity, posture, and action per session. No collector attached to a bare pipe can produce telemetry the pipe does not carry.</w:t>
      </w:r>
    </w:p>
    <w:p>
      <w:pPr>
        <w:pStyle w:val="BlockText"/>
      </w:pPr>
      <w:r>
        <w:rPr>
          <w:b/>
          <w:bCs/>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“we have DIA”</w:t>
      </w:r>
      <w:r>
        <w:t xml:space="preserve"> </w:t>
      </w:r>
      <w:r>
        <w:t xml:space="preserve">as a compliance achievement, the correct technical response is:</w:t>
      </w:r>
      <w:r>
        <w:t xml:space="preserve"> </w:t>
      </w:r>
      <w:r>
        <w:rPr>
          <w:b/>
          <w:bCs/>
        </w:rPr>
        <w:t xml:space="preserve">you have the pipe. Where is the control stack?</w:t>
      </w:r>
    </w:p>
    <w:p>
      <w:pPr>
        <w:pStyle w:val="FirstParagraph"/>
      </w:pPr>
      <w:r>
        <w:t xml:space="preserve">TIC 3.0 is the policy frame that turns this from good engineering advice into a compliance requirement. Under TIC 3.0, an agency may move enforcement from the consolidated TIC access point to a</w:t>
      </w:r>
      <w:r>
        <w:t xml:space="preserve"> </w:t>
      </w:r>
      <w:r>
        <w:rPr>
          <w:b/>
          <w:bCs/>
        </w:rPr>
        <w:t xml:space="preserve">distributed policy enforcement point</w:t>
      </w:r>
      <w:r>
        <w:t xml:space="preserve"> </w:t>
      </w:r>
      <w:r>
        <w:t xml:space="preserve">— but only if the TIC security capabilities catalog is satisfied</w:t>
      </w:r>
      <w:r>
        <w:t xml:space="preserve"> </w:t>
      </w:r>
      <w:r>
        <w:rPr>
          <w:i/>
          <w:iCs/>
        </w:rPr>
        <w:t xml:space="preserve">at that PEP</w:t>
      </w:r>
      <w:r>
        <w:t xml:space="preserve">. The SASE stack is that distributed PEP. This is what makes DIA lawful: the pipe is permissible precisely and only when the enforcement point travels with it. A DIA circuit deployed without the distributed PEP has not modernized the TIC boundary — it has deleted it, and deleted boundaries surface as findings. The use-case-by-use-case mapping of the TIC 3.0 catalog onto distributed egress is developed in</w:t>
      </w:r>
      <w:r>
        <w:t xml:space="preserve"> </w:t>
      </w:r>
      <w:hyperlink r:id="rId56">
        <w:r>
          <w:rPr>
            <w:rStyle w:val="Hyperlink"/>
          </w:rPr>
          <w:t xml:space="preserve">Book 06</w:t>
        </w:r>
      </w:hyperlink>
      <w:r>
        <w:t xml:space="preserve">.</w:t>
      </w:r>
    </w:p>
    <w:bookmarkEnd w:id="57"/>
    <w:bookmarkStart w:id="81" w:name="X1a497c7ea6d83df250265fb5a83ec23fa2fa09e"/>
    <w:p>
      <w:pPr>
        <w:pStyle w:val="Heading1"/>
      </w:pPr>
      <w:r>
        <w:t xml:space="preserve">9. Act 4 — The Way Forward: Application-Aware Modernization</w:t>
      </w:r>
    </w:p>
    <w:p>
      <w:pPr>
        <w:pStyle w:val="CaptionedFigure"/>
      </w:pPr>
      <w:r>
        <w:drawing>
          <wp:inline>
            <wp:extent cx="5334000" cy="2933700"/>
            <wp:effectExtent b="0" l="0" r="0" t="0"/>
            <wp:docPr descr="The Four Principles of Application-Aware Modernization" title="" id="59" name="Picture"/>
            <a:graphic>
              <a:graphicData uri="http://schemas.openxmlformats.org/drawingml/2006/picture">
                <pic:pic>
                  <pic:nvPicPr>
                    <pic:cNvPr descr="figs/mf-fig-05-four-principles.png" id="60" name="Picture"/>
                    <pic:cNvPicPr>
                      <a:picLocks noChangeArrowheads="1" noChangeAspect="1"/>
                    </pic:cNvPicPr>
                  </pic:nvPicPr>
                  <pic:blipFill>
                    <a:blip r:embed="rId58"/>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64" w:name="Xbc698cae2942f33fdb0065bde2168bfe6efbd56"/>
    <w:p>
      <w:pPr>
        <w:pStyle w:val="Heading2"/>
      </w:pPr>
      <w:r>
        <w:t xml:space="preserve">9.1 Principle 1 — Restore a Single Source of Truth</w:t>
      </w:r>
    </w:p>
    <w:p>
      <w:pPr>
        <w:pStyle w:val="CaptionedFigure"/>
      </w:pPr>
      <w:r>
        <w:drawing>
          <wp:inline>
            <wp:extent cx="5334000" cy="2844800"/>
            <wp:effectExtent b="0" l="0" r="0" t="0"/>
            <wp:docPr descr="Principle 1 — SSOT Restoration: Collapsing Twelve Regional Silos Into One Authoritative Model" title="" id="62" name="Picture"/>
            <a:graphic>
              <a:graphicData uri="http://schemas.openxmlformats.org/drawingml/2006/picture">
                <pic:pic>
                  <pic:nvPicPr>
                    <pic:cNvPr descr="figs/mf-fig-14-ssot-restoration.png" id="63" name="Picture"/>
                    <pic:cNvPicPr>
                      <a:picLocks noChangeArrowheads="1" noChangeAspect="1"/>
                    </pic:cNvPicPr>
                  </pic:nvPicPr>
                  <pic:blipFill>
                    <a:blip r:embed="rId6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
          <w:bCs/>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
          <w:bCs/>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
          <w:bCs/>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
          <w:bCs/>
        </w:rPr>
        <w:t xml:space="preserve">Evidence Act (2018)</w:t>
      </w:r>
      <w:r>
        <w:t xml:space="preserve"> </w:t>
      </w:r>
      <w:r>
        <w:t xml:space="preserve">and the</w:t>
      </w:r>
      <w:r>
        <w:t xml:space="preserve"> </w:t>
      </w:r>
      <w:r>
        <w:rPr>
          <w:b/>
          <w:bCs/>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64"/>
    <w:bookmarkStart w:id="65" w:name="Xdfa5d8d43cb38b7775800e99b3c0ea4c41bc9b7"/>
    <w:p>
      <w:pPr>
        <w:pStyle w:val="Heading2"/>
      </w:pPr>
      <w:r>
        <w:t xml:space="preserve">9.2 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
          <w:iCs/>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
          <w:bCs/>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
          <w:bCs/>
        </w:rPr>
        <w:t xml:space="preserve">OMB M-22-09</w:t>
      </w:r>
      <w:r>
        <w:t xml:space="preserve"> </w:t>
      </w:r>
      <w:r>
        <w:t xml:space="preserve">§4 requires agencies to implement network visibility and traffic inspection that operates at the application layer, not the IP/port layer.</w:t>
      </w:r>
      <w:r>
        <w:t xml:space="preserve"> </w:t>
      </w:r>
      <w:r>
        <w:rPr>
          <w:b/>
          <w:bCs/>
        </w:rPr>
        <w:t xml:space="preserve">TIC 3.0</w:t>
      </w:r>
      <w:r>
        <w:t xml:space="preserve"> </w:t>
      </w:r>
      <w:r>
        <w:t xml:space="preserve">Use Cases E and F mandate application-layer visibility as a condition of compliant remote and branch connectivity.</w:t>
      </w:r>
    </w:p>
    <w:p>
      <w:pPr>
        <w:pStyle w:val="BodyText"/>
      </w:pPr>
      <w:r>
        <w:rPr>
          <w:b/>
          <w:bCs/>
        </w:rPr>
        <w:t xml:space="preserve">Application-Aware Networking framework alignment:</w:t>
      </w:r>
    </w:p>
    <w:p>
      <w:pPr>
        <w:pStyle w:val="Compact"/>
        <w:numPr>
          <w:ilvl w:val="0"/>
          <w:numId w:val="1002"/>
        </w:numPr>
      </w:pPr>
      <w:r>
        <w:rPr>
          <w:b/>
          <w:bCs/>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pStyle w:val="Compact"/>
        <w:numPr>
          <w:ilvl w:val="0"/>
          <w:numId w:val="1002"/>
        </w:numPr>
      </w:pPr>
      <w:r>
        <w:rPr>
          <w:b/>
          <w:bCs/>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pStyle w:val="Compact"/>
        <w:numPr>
          <w:ilvl w:val="0"/>
          <w:numId w:val="1002"/>
        </w:numPr>
      </w:pPr>
      <w:r>
        <w:rPr>
          <w:b/>
          <w:bCs/>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65"/>
    <w:bookmarkStart w:id="72" w:name="X2ee2d00d99ef33eb9ff54cc77a73ec551d5614f"/>
    <w:p>
      <w:pPr>
        <w:pStyle w:val="Heading2"/>
      </w:pPr>
      <w:r>
        <w:t xml:space="preserve">9.3 Principle 3 — Move From Session-Based to Token-Based Identity</w:t>
      </w:r>
    </w:p>
    <w:p>
      <w:pPr>
        <w:pStyle w:val="CaptionedFigure"/>
      </w:pPr>
      <w:r>
        <w:drawing>
          <wp:inline>
            <wp:extent cx="5334000" cy="2844800"/>
            <wp:effectExtent b="0" l="0" r="0" t="0"/>
            <wp:docPr descr="Principle 3 — Token vs Session: How Modern Identity Works Across Networks" title="" id="67" name="Picture"/>
            <a:graphic>
              <a:graphicData uri="http://schemas.openxmlformats.org/drawingml/2006/picture">
                <pic:pic>
                  <pic:nvPicPr>
                    <pic:cNvPr descr="figs/mf-fig-12-token-vs-session.png" id="68" name="Picture"/>
                    <pic:cNvPicPr>
                      <a:picLocks noChangeArrowheads="1" noChangeAspect="1"/>
                    </pic:cNvPicPr>
                  </pic:nvPicPr>
                  <pic:blipFill>
                    <a:blip r:embed="rId6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
          <w:iCs/>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
          <w:bCs/>
        </w:rPr>
        <w:t xml:space="preserve">BOD 25-01</w:t>
      </w:r>
      <w:r>
        <w:t xml:space="preserve"> </w:t>
      </w:r>
      <w:r>
        <w:t xml:space="preserve">mandates SCuBA secure configuration baselines for Microsoft 365 that require modern authentication throughout.</w:t>
      </w:r>
      <w:r>
        <w:t xml:space="preserve"> </w:t>
      </w:r>
      <w:r>
        <w:rPr>
          <w:b/>
          <w:bCs/>
        </w:rPr>
        <w:t xml:space="preserve">OMB M-22-09</w:t>
      </w:r>
      <w:r>
        <w:t xml:space="preserve"> </w:t>
      </w:r>
      <w:r>
        <w:t xml:space="preserve">requires phishing-resistant MFA government-wide. The</w:t>
      </w:r>
      <w:r>
        <w:t xml:space="preserve"> </w:t>
      </w:r>
      <w:r>
        <w:rPr>
          <w:b/>
          <w:bCs/>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
          <w:bCs/>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
          <w:bCs/>
        </w:rPr>
        <w:t xml:space="preserve">That is why Principle 3 depends on Principle 1: the token must assert an authorization that is</w:t>
      </w:r>
      <w:r>
        <w:rPr>
          <w:b/>
          <w:bCs/>
        </w:rPr>
        <w:t xml:space="preserve"> </w:t>
      </w:r>
      <w:r>
        <w:rPr>
          <w:b/>
          <w:bCs/>
          <w:i/>
          <w:iCs/>
        </w:rPr>
        <w:t xml:space="preserve">true</w:t>
      </w:r>
      <w:r>
        <w:rPr>
          <w:b/>
          <w:bCs/>
        </w:rPr>
        <w:t xml:space="preserve"> </w:t>
      </w:r>
      <w:r>
        <w:rPr>
          <w:b/>
          <w:bCs/>
        </w:rPr>
        <w:t xml:space="preserve">rather than merely</w:t>
      </w:r>
      <w:r>
        <w:rPr>
          <w:b/>
          <w:bCs/>
        </w:rPr>
        <w:t xml:space="preserve"> </w:t>
      </w:r>
      <w:r>
        <w:rPr>
          <w:b/>
          <w:bCs/>
          <w:i/>
          <w:iCs/>
        </w:rPr>
        <w:t xml:space="preserve">well-formed.</w:t>
      </w:r>
    </w:p>
    <w:p>
      <w:pPr>
        <w:pStyle w:val="CaptionedFigure"/>
      </w:pPr>
      <w:r>
        <w:drawing>
          <wp:inline>
            <wp:extent cx="5334000" cy="2726266"/>
            <wp:effectExtent b="0" l="0" r="0" t="0"/>
            <wp:docPr descr="FedRAMP 20x — From Periodic Assessment to Continuous Machine-Readable Evidence" title="" id="70" name="Picture"/>
            <a:graphic>
              <a:graphicData uri="http://schemas.openxmlformats.org/drawingml/2006/picture">
                <pic:pic>
                  <pic:nvPicPr>
                    <pic:cNvPr descr="figs/mf-fig-13-fedramp-20x-mainframe.png" id="71" name="Picture"/>
                    <pic:cNvPicPr>
                      <a:picLocks noChangeArrowheads="1" noChangeAspect="1"/>
                    </pic:cNvPicPr>
                  </pic:nvPicPr>
                  <pic:blipFill>
                    <a:blip r:embed="rId69"/>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72"/>
    <w:bookmarkStart w:id="76" w:name="sec-fedramp-20x-mainframe"/>
    <w:p>
      <w:pPr>
        <w:pStyle w:val="Heading2"/>
      </w:pPr>
      <w:r>
        <w:t xml:space="preserve">9.4 FedRAMP 20x Consolidated Rules — What Modernization Must Achieve</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
          <w:bCs/>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w:t>
      </w:r>
    </w:p>
    <w:tbl>
      <w:tblPr>
        <w:tblStyle w:val="Table"/>
        <w:tblW w:type="pct" w:w="5000"/>
        <w:tblLayout w:type="fixed"/>
        <w:tblLook w:firstRow="1" w:lastRow="0" w:firstColumn="0" w:lastColumn="0" w:noHBand="0" w:noVBand="0" w:val="0020"/>
        <w:tblCaption w:val="FedRAMP 20x Consolidated Rules Alignment"/>
      </w:tblPr>
      <w:tblGrid>
        <w:gridCol w:w="3960"/>
        <w:gridCol w:w="3960"/>
      </w:tblGrid>
      <w:tr>
        <w:trPr>
          <w:tblHeader w:val="on"/>
        </w:trPr>
        <w:tc>
          <w:tcPr/>
          <w:p>
            <w:pPr>
              <w:pStyle w:val="Compact"/>
            </w:pPr>
            <w:r>
              <w:t xml:space="preserve">FedRAMP 20x Requirement</w:t>
            </w:r>
          </w:p>
        </w:tc>
        <w:tc>
          <w:tcPr/>
          <w:p>
            <w:pPr>
              <w:pStyle w:val="Compact"/>
            </w:pPr>
            <w:r>
              <w:t xml:space="preserve">What the Modern Architecture Provides</w:t>
            </w:r>
          </w:p>
        </w:tc>
      </w:tr>
      <w:tr>
        <w:tc>
          <w:tcPr/>
          <w:p>
            <w:pPr>
              <w:pStyle w:val="Compact"/>
            </w:pPr>
            <w:r>
              <w:t xml:space="preserve">Continuous, automated KSI verification</w:t>
            </w:r>
          </w:p>
        </w:tc>
        <w:tc>
          <w:tcPr/>
          <w:p>
            <w:pPr>
              <w:pStyle w:val="Compact"/>
            </w:pPr>
            <w:r>
              <w:t xml:space="preserve">SD-WAN probes every transport every second; SASE logs every session; DDI logs every DNS query</w:t>
            </w:r>
          </w:p>
        </w:tc>
      </w:tr>
      <w:tr>
        <w:tc>
          <w:tcPr/>
          <w:p>
            <w:pPr>
              <w:pStyle w:val="Compact"/>
            </w:pPr>
            <w:r>
              <w:t xml:space="preserve">Machine-readable evidence format (JSON)</w:t>
            </w:r>
          </w:p>
        </w:tc>
        <w:tc>
          <w:tcPr/>
          <w:p>
            <w:pPr>
              <w:pStyle w:val="Compact"/>
            </w:pPr>
            <w:r>
              <w:t xml:space="preserve">SD-WAN telemetry APIs, SIEM structured exports, InfoBlox WAPI — all native JSON</w:t>
            </w:r>
          </w:p>
        </w:tc>
      </w:tr>
      <w:tr>
        <w:tc>
          <w:tcPr/>
          <w:p>
            <w:pPr>
              <w:pStyle w:val="Compact"/>
            </w:pPr>
            <w:r>
              <w:t xml:space="preserve">Infrastructure-as-code guardrails</w:t>
            </w:r>
          </w:p>
        </w:tc>
        <w:tc>
          <w:tcPr/>
          <w:p>
            <w:pPr>
              <w:pStyle w:val="Compact"/>
            </w:pPr>
            <w:r>
              <w:t xml:space="preserve">Terraform for DDI, IaC for SASE policy, GitOps for network config — guardrails enforced at commit</w:t>
            </w:r>
          </w:p>
        </w:tc>
      </w:tr>
      <w:tr>
        <w:tc>
          <w:tcPr/>
          <w:p>
            <w:pPr>
              <w:pStyle w:val="Compact"/>
            </w:pPr>
            <w:r>
              <w:t xml:space="preserve">No manual evidence assembly for assessments</w:t>
            </w:r>
          </w:p>
        </w:tc>
        <w:tc>
          <w:tcPr/>
          <w:p>
            <w:pPr>
              <w:pStyle w:val="Compact"/>
            </w:pPr>
            <w:r>
              <w:t xml:space="preserve">The control plane’s continuous observation IS the evidence — not a report prepared for an assessor</w:t>
            </w:r>
          </w:p>
        </w:tc>
      </w:tr>
      <w:tr>
        <w:tc>
          <w:tcPr/>
          <w:p>
            <w:pPr>
              <w:pStyle w:val="Compact"/>
            </w:pPr>
            <w:r>
              <w:t xml:space="preserve">Automated KSI: all DNS encrypted or integrity-protected</w:t>
            </w:r>
          </w:p>
        </w:tc>
        <w:tc>
          <w:tcPr/>
          <w:p>
            <w:pPr>
              <w:pStyle w:val="Compact"/>
            </w:pPr>
            <w:r>
              <w:t xml:space="preserve">DNSSEC on all zones; DoH/DoT on Grid Members</w:t>
            </w:r>
          </w:p>
        </w:tc>
      </w:tr>
      <w:tr>
        <w:tc>
          <w:tcPr/>
          <w:p>
            <w:pPr>
              <w:pStyle w:val="Compact"/>
            </w:pPr>
            <w:r>
              <w:t xml:space="preserve">Automated KSI: no CIDR overlap between environments</w:t>
            </w:r>
          </w:p>
        </w:tc>
        <w:tc>
          <w:tcPr/>
          <w:p>
            <w:pPr>
              <w:pStyle w:val="Compact"/>
            </w:pPr>
            <w:r>
              <w:t xml:space="preserve">Terraform InfoBlox provider blocks overlapping allocation at request time</w:t>
            </w:r>
          </w:p>
        </w:tc>
      </w:tr>
      <w:tr>
        <w:tc>
          <w:tcPr/>
          <w:p>
            <w:pPr>
              <w:pStyle w:val="Compact"/>
            </w:pPr>
            <w:r>
              <w:t xml:space="preserve">Automated KSI: every workload has machine identity</w:t>
            </w:r>
          </w:p>
        </w:tc>
        <w:tc>
          <w:tcPr/>
          <w:p>
            <w:pPr>
              <w:pStyle w:val="Compact"/>
            </w:pPr>
            <w:r>
              <w:t xml:space="preserve">SCEP/EST auto-enrollment triggered at IP provisioning</w:t>
            </w:r>
          </w:p>
        </w:tc>
      </w:tr>
    </w:tbl>
    <w:p>
      <w:pPr>
        <w:pStyle w:val="BodyText"/>
      </w:pPr>
      <w:r>
        <w:rPr>
          <w:b/>
          <w:bCs/>
        </w:rPr>
        <w:t xml:space="preserve">Key dates all agencies must track:</w:t>
      </w:r>
    </w:p>
    <w:p>
      <w:pPr>
        <w:pStyle w:val="Compact"/>
        <w:numPr>
          <w:ilvl w:val="0"/>
          <w:numId w:val="1003"/>
        </w:numPr>
      </w:pPr>
      <w:r>
        <w:rPr>
          <w:b/>
          <w:bCs/>
        </w:rPr>
        <w:t xml:space="preserve">July 28, 2026:</w:t>
      </w:r>
      <w:r>
        <w:t xml:space="preserve"> </w:t>
      </w:r>
      <w:r>
        <w:t xml:space="preserve">FedRAMP Ready submissions cease — no new Ready pathway submissions accepted</w:t>
      </w:r>
    </w:p>
    <w:p>
      <w:pPr>
        <w:pStyle w:val="Compact"/>
        <w:numPr>
          <w:ilvl w:val="0"/>
          <w:numId w:val="1003"/>
        </w:numPr>
      </w:pPr>
      <w:r>
        <w:rPr>
          <w:b/>
          <w:bCs/>
        </w:rPr>
        <w:t xml:space="preserve">August 3, 2026:</w:t>
      </w:r>
      <w:r>
        <w:t xml:space="preserve"> </w:t>
      </w:r>
      <w:r>
        <w:t xml:space="preserve">Class A pipeline opens</w:t>
      </w:r>
    </w:p>
    <w:p>
      <w:pPr>
        <w:pStyle w:val="Compact"/>
        <w:numPr>
          <w:ilvl w:val="0"/>
          <w:numId w:val="1003"/>
        </w:numPr>
      </w:pPr>
      <w:r>
        <w:rPr>
          <w:b/>
          <w:bCs/>
        </w:rPr>
        <w:t xml:space="preserve">August 31, 2026:</w:t>
      </w:r>
      <w:r>
        <w:t xml:space="preserve"> </w:t>
      </w:r>
      <w:r>
        <w:t xml:space="preserve">Class B and C pipelines open</w:t>
      </w:r>
    </w:p>
    <w:p>
      <w:pPr>
        <w:pStyle w:val="Compact"/>
        <w:numPr>
          <w:ilvl w:val="0"/>
          <w:numId w:val="1003"/>
        </w:numPr>
      </w:pPr>
      <w:r>
        <w:rPr>
          <w:b/>
          <w:bCs/>
        </w:rPr>
        <w:t xml:space="preserve">January 1, 2027:</w:t>
      </w:r>
      <w:r>
        <w:t xml:space="preserve"> </w:t>
      </w:r>
      <w:r>
        <w:t xml:space="preserve">Consolidated Rules mandatory for all certified systems — all ConMon evidence must meet machine-readable KSI format</w:t>
      </w:r>
    </w:p>
    <w:p>
      <w:pPr>
        <w:pStyle w:val="Compact"/>
        <w:numPr>
          <w:ilvl w:val="0"/>
          <w:numId w:val="1003"/>
        </w:numPr>
      </w:pPr>
      <w:r>
        <w:rPr>
          <w:b/>
          <w:bCs/>
        </w:rPr>
        <w:t xml:space="preserve">June 11, 2027:</w:t>
      </w:r>
      <w:r>
        <w:t xml:space="preserve"> </w:t>
      </w:r>
      <w:r>
        <w:t xml:space="preserve">No new Rev5 certifications accepted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important.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precise alignment:</w:t>
            </w:r>
            <w:r>
              <w:t xml:space="preserve"> </w:t>
            </w:r>
            <w:r>
              <w:t xml:space="preserve">FedRAMP 20x’s demand for</w:t>
            </w:r>
            <w:r>
              <w:t xml:space="preserve"> </w:t>
            </w:r>
            <w:r>
              <w:t xml:space="preserve">“continuous, automated, machine-readable evidence”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p/>
        </w:tc>
      </w:tr>
    </w:tbl>
    <w:bookmarkEnd w:id="76"/>
    <w:bookmarkStart w:id="80" w:name="X83e0d573bebbfeb4b5a4df8ed0603d864d64519"/>
    <w:p>
      <w:pPr>
        <w:pStyle w:val="Heading2"/>
      </w:pPr>
      <w:r>
        <w:t xml:space="preserve">9.5 Principle 4 — Govern Actively: The Control Plane Over the Data Plane</w:t>
      </w:r>
    </w:p>
    <w:p>
      <w:pPr>
        <w:pStyle w:val="CaptionedFigure"/>
      </w:pPr>
      <w:r>
        <w:drawing>
          <wp:inline>
            <wp:extent cx="5334000" cy="2844800"/>
            <wp:effectExtent b="0" l="0" r="0" t="0"/>
            <wp:docPr descr="Active Governance: Control Plane and Actuation Ladder" title="" id="78" name="Picture"/>
            <a:graphic>
              <a:graphicData uri="http://schemas.openxmlformats.org/drawingml/2006/picture">
                <pic:pic>
                  <pic:nvPicPr>
                    <pic:cNvPr descr="figs/mf-fig-06-active-governance.png" id="79" name="Picture"/>
                    <pic:cNvPicPr>
                      <a:picLocks noChangeArrowheads="1" noChangeAspect="1"/>
                    </pic:cNvPicPr>
                  </pic:nvPicPr>
                  <pic:blipFill>
                    <a:blip r:embed="rId7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
          <w:bCs/>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
          <w:bCs/>
        </w:rPr>
        <w:t xml:space="preserve">data planes</w:t>
      </w:r>
      <w:r>
        <w:t xml:space="preserve"> </w:t>
      </w:r>
      <w:r>
        <w:t xml:space="preserve">that authenticate, route, resolve, and store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CISA ZT Stage</w:t>
            </w:r>
          </w:p>
        </w:tc>
        <w:tc>
          <w:tcPr/>
          <w:p>
            <w:pPr>
              <w:pStyle w:val="Compact"/>
            </w:pPr>
            <w:r>
              <w:t xml:space="preserve">Governance Posture</w:t>
            </w:r>
          </w:p>
        </w:tc>
        <w:tc>
          <w:tcPr/>
          <w:p>
            <w:pPr>
              <w:pStyle w:val="Compact"/>
            </w:pPr>
            <w:r>
              <w:t xml:space="preserve">What This Means in Practice</w:t>
            </w:r>
          </w:p>
        </w:tc>
      </w:tr>
      <w:tr>
        <w:tc>
          <w:tcPr/>
          <w:p>
            <w:pPr>
              <w:pStyle w:val="Compact"/>
            </w:pPr>
            <w:r>
              <w:t xml:space="preserve">Traditional</w:t>
            </w:r>
          </w:p>
        </w:tc>
        <w:tc>
          <w:tcPr/>
          <w:p>
            <w:pPr>
              <w:pStyle w:val="Compact"/>
            </w:pPr>
            <w:r>
              <w:t xml:space="preserve">Record and observe only</w:t>
            </w:r>
          </w:p>
        </w:tc>
        <w:tc>
          <w:tcPr/>
          <w:p>
            <w:pPr>
              <w:pStyle w:val="Compact"/>
            </w:pPr>
            <w:r>
              <w:t xml:space="preserve">Desired state documented; actual state collected manually. No automated detection or correction.</w:t>
            </w:r>
          </w:p>
        </w:tc>
      </w:tr>
      <w:tr>
        <w:tc>
          <w:tcPr/>
          <w:p>
            <w:pPr>
              <w:pStyle w:val="Compact"/>
            </w:pPr>
            <w:r>
              <w:t xml:space="preserve">Initial</w:t>
            </w:r>
          </w:p>
        </w:tc>
        <w:tc>
          <w:tcPr/>
          <w:p>
            <w:pPr>
              <w:pStyle w:val="Compact"/>
            </w:pPr>
            <w:r>
              <w:t xml:space="preserve">Observe and advise</w:t>
            </w:r>
          </w:p>
        </w:tc>
        <w:tc>
          <w:tcPr/>
          <w:p>
            <w:pPr>
              <w:pStyle w:val="Compact"/>
            </w:pPr>
            <w:r>
              <w:t xml:space="preserve">Automated detection of drift from policy. Corrective actions generated and surfaced to operators. No automated writes.</w:t>
            </w:r>
          </w:p>
        </w:tc>
      </w:tr>
      <w:tr>
        <w:tc>
          <w:tcPr/>
          <w:p>
            <w:pPr>
              <w:pStyle w:val="Compact"/>
            </w:pPr>
            <w:r>
              <w:rPr>
                <w:b/>
                <w:bCs/>
              </w:rPr>
              <w:t xml:space="preserve">Advanced</w:t>
            </w:r>
          </w:p>
        </w:tc>
        <w:tc>
          <w:tcPr/>
          <w:p>
            <w:pPr>
              <w:pStyle w:val="Compact"/>
            </w:pPr>
            <w:r>
              <w:rPr>
                <w:b/>
                <w:bCs/>
              </w:rPr>
              <w:t xml:space="preserve">Gated actuation</w:t>
            </w:r>
          </w:p>
        </w:tc>
        <w:tc>
          <w:tcPr/>
          <w:p>
            <w:pPr>
              <w:pStyle w:val="Compact"/>
            </w:pPr>
            <w:r>
              <w:rPr>
                <w:b/>
                <w:bCs/>
              </w:rPr>
              <w:t xml:space="preserve">Governance framework generates a corrective action; a human approves before it executes. Dry-run required before production. Federal ConMon standard posture.</w:t>
            </w:r>
          </w:p>
        </w:tc>
      </w:tr>
      <w:tr>
        <w:tc>
          <w:tcPr/>
          <w:p>
            <w:pPr>
              <w:pStyle w:val="Compact"/>
            </w:pPr>
            <w:r>
              <w:t xml:space="preserve">Optimal</w:t>
            </w:r>
          </w:p>
        </w:tc>
        <w:tc>
          <w:tcPr/>
          <w:p>
            <w:pPr>
              <w:pStyle w:val="Compact"/>
            </w:pPr>
            <w:r>
              <w:t xml:space="preserve">Autonomous within guardrails</w:t>
            </w:r>
          </w:p>
        </w:tc>
        <w:tc>
          <w:tcPr/>
          <w:p>
            <w:pPr>
              <w:pStyle w:val="Compact"/>
            </w:pPr>
            <w:r>
              <w:t xml:space="preserve">Governance framework closes the loop without human intervention for enumerated low-blast-radius operation classes. High-blast-radius operations remain gated permanently.</w:t>
            </w:r>
          </w:p>
        </w:tc>
      </w:tr>
    </w:tbl>
    <w:p>
      <w:pPr>
        <w:pStyle w:val="BlockText"/>
      </w:pPr>
      <w:r>
        <w:rPr>
          <w:b/>
          <w:bCs/>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0"/>
    <w:bookmarkEnd w:id="81"/>
    <w:bookmarkStart w:id="82" w:name="federal-framework-alignment"/>
    <w:p>
      <w:pPr>
        <w:pStyle w:val="Heading1"/>
      </w:pPr>
      <w:r>
        <w:t xml:space="preserve">10. 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Narrative Claim</w:t>
            </w:r>
          </w:p>
        </w:tc>
        <w:tc>
          <w:tcPr/>
          <w:p>
            <w:pPr>
              <w:pStyle w:val="Compact"/>
            </w:pPr>
            <w:r>
              <w:t xml:space="preserve">Federal Mandate</w:t>
            </w:r>
          </w:p>
        </w:tc>
        <w:tc>
          <w:tcPr/>
          <w:p>
            <w:pPr>
              <w:pStyle w:val="Compact"/>
            </w:pPr>
            <w:r>
              <w:t xml:space="preserve">Standard / Reference</w:t>
            </w:r>
          </w:p>
        </w:tc>
      </w:tr>
      <w:tr>
        <w:tc>
          <w:tcPr/>
          <w:p>
            <w:pPr>
              <w:pStyle w:val="Compact"/>
            </w:pPr>
            <w:r>
              <w:t xml:space="preserve">Separate truth from runtime enforcement</w:t>
            </w:r>
          </w:p>
        </w:tc>
        <w:tc>
          <w:tcPr/>
          <w:p>
            <w:pPr>
              <w:pStyle w:val="Compact"/>
            </w:pPr>
            <w:r>
              <w:t xml:space="preserve">EO 14028 (May 2021), OMB M-22-09</w:t>
            </w:r>
          </w:p>
        </w:tc>
        <w:tc>
          <w:tcPr/>
          <w:p>
            <w:pPr>
              <w:pStyle w:val="Compact"/>
            </w:pPr>
            <w:r>
              <w:t xml:space="preserve">NIST SP 800-207 §2 (Zero Trust tenets)</w:t>
            </w:r>
          </w:p>
        </w:tc>
      </w:tr>
      <w:tr>
        <w:tc>
          <w:tcPr/>
          <w:p>
            <w:pPr>
              <w:pStyle w:val="Compact"/>
            </w:pPr>
            <w:r>
              <w:t xml:space="preserve">Single source of truth for identity and data</w:t>
            </w:r>
          </w:p>
        </w:tc>
        <w:tc>
          <w:tcPr/>
          <w:p>
            <w:pPr>
              <w:pStyle w:val="Compact"/>
            </w:pPr>
            <w:r>
              <w:t xml:space="preserve">Evidence Act (2018), Federal Data Strategy</w:t>
            </w:r>
          </w:p>
        </w:tc>
        <w:tc>
          <w:tcPr/>
          <w:p>
            <w:pPr>
              <w:pStyle w:val="Compact"/>
            </w:pPr>
            <w:r>
              <w:t xml:space="preserve">NIST SP 800-53 Rev 5 CM-8, SI-12</w:t>
            </w:r>
          </w:p>
        </w:tc>
      </w:tr>
      <w:tr>
        <w:tc>
          <w:tcPr/>
          <w:p>
            <w:pPr>
              <w:pStyle w:val="Compact"/>
            </w:pPr>
            <w:r>
              <w:t xml:space="preserve">Authoritative identity attributes from HR / authoritative sources</w:t>
            </w:r>
          </w:p>
        </w:tc>
        <w:tc>
          <w:tcPr/>
          <w:p>
            <w:pPr>
              <w:pStyle w:val="Compact"/>
            </w:pPr>
            <w:r>
              <w:t xml:space="preserve">FICAM Architecture, OMB M-22-09</w:t>
            </w:r>
          </w:p>
        </w:tc>
        <w:tc>
          <w:tcPr/>
          <w:p>
            <w:pPr>
              <w:pStyle w:val="Compact"/>
            </w:pPr>
            <w:r>
              <w:t xml:space="preserve">NIST SP 800-63 Digital Identity Guidelines</w:t>
            </w:r>
          </w:p>
        </w:tc>
      </w:tr>
      <w:tr>
        <w:tc>
          <w:tcPr/>
          <w:p>
            <w:pPr>
              <w:pStyle w:val="Compact"/>
            </w:pPr>
            <w:r>
              <w:t xml:space="preserve">Application-aware networking; per-transaction policy enforcement</w:t>
            </w:r>
          </w:p>
        </w:tc>
        <w:tc>
          <w:tcPr/>
          <w:p>
            <w:pPr>
              <w:pStyle w:val="Compact"/>
            </w:pPr>
            <w:r>
              <w:t xml:space="preserve">OMB M-22-09 §4, EO 14028</w:t>
            </w:r>
          </w:p>
        </w:tc>
        <w:tc>
          <w:tcPr/>
          <w:p>
            <w:pPr>
              <w:pStyle w:val="Compact"/>
            </w:pPr>
            <w:r>
              <w:t xml:space="preserve">NIST SP 800-207, TIC 3.0 Use Cases E and F</w:t>
            </w:r>
          </w:p>
        </w:tc>
      </w:tr>
      <w:tr>
        <w:tc>
          <w:tcPr/>
          <w:p>
            <w:pPr>
              <w:pStyle w:val="Compact"/>
            </w:pPr>
            <w:r>
              <w:t xml:space="preserve">Phishing-resistant MFA / Certificate-Based Authentication</w:t>
            </w:r>
          </w:p>
        </w:tc>
        <w:tc>
          <w:tcPr/>
          <w:p>
            <w:pPr>
              <w:pStyle w:val="Compact"/>
            </w:pPr>
            <w:r>
              <w:t xml:space="preserve">BOD 25-01, OMB M-22-09</w:t>
            </w:r>
          </w:p>
        </w:tc>
        <w:tc>
          <w:tcPr/>
          <w:p>
            <w:pPr>
              <w:pStyle w:val="Compact"/>
            </w:pPr>
            <w:r>
              <w:t xml:space="preserve">CISA ZTMM v2.0 Identity pillar (Advanced/Optimal)</w:t>
            </w:r>
          </w:p>
        </w:tc>
      </w:tr>
      <w:tr>
        <w:tc>
          <w:tcPr/>
          <w:p>
            <w:pPr>
              <w:pStyle w:val="Compact"/>
            </w:pPr>
            <w:r>
              <w:t xml:space="preserve">Eliminate NTLM; move to token-based identity</w:t>
            </w:r>
          </w:p>
        </w:tc>
        <w:tc>
          <w:tcPr/>
          <w:p>
            <w:pPr>
              <w:pStyle w:val="Compact"/>
            </w:pPr>
            <w:r>
              <w:t xml:space="preserve">BOD 25-01 (M365 SCuBA baselines)</w:t>
            </w:r>
          </w:p>
        </w:tc>
        <w:tc>
          <w:tcPr/>
          <w:p>
            <w:pPr>
              <w:pStyle w:val="Compact"/>
            </w:pPr>
            <w:r>
              <w:t xml:space="preserve">CISA ZTMM v2.0 Identity pillar</w:t>
            </w:r>
          </w:p>
        </w:tc>
      </w:tr>
      <w:tr>
        <w:tc>
          <w:tcPr/>
          <w:p>
            <w:pPr>
              <w:pStyle w:val="Compact"/>
            </w:pPr>
            <w:r>
              <w:t xml:space="preserve">Device compliance as input to access decisions</w:t>
            </w:r>
          </w:p>
        </w:tc>
        <w:tc>
          <w:tcPr/>
          <w:p>
            <w:pPr>
              <w:pStyle w:val="Compact"/>
            </w:pPr>
            <w:r>
              <w:t xml:space="preserve">OMB M-22-09 §3</w:t>
            </w:r>
          </w:p>
        </w:tc>
        <w:tc>
          <w:tcPr/>
          <w:p>
            <w:pPr>
              <w:pStyle w:val="Compact"/>
            </w:pPr>
            <w:r>
              <w:t xml:space="preserve">CISA ZTMM v2.0 Devices pillar</w:t>
            </w:r>
          </w:p>
        </w:tc>
      </w:tr>
      <w:tr>
        <w:tc>
          <w:tcPr/>
          <w:p>
            <w:pPr>
              <w:pStyle w:val="Compact"/>
            </w:pPr>
            <w:r>
              <w:t xml:space="preserve">SD-WAN local internet breakout; eliminate MPLS hairpin</w:t>
            </w:r>
          </w:p>
        </w:tc>
        <w:tc>
          <w:tcPr/>
          <w:p>
            <w:pPr>
              <w:pStyle w:val="Compact"/>
            </w:pPr>
            <w:r>
              <w:t xml:space="preserve">TIC 3.0 (Trusted Internet Connections)</w:t>
            </w:r>
          </w:p>
        </w:tc>
        <w:tc>
          <w:tcPr/>
          <w:p>
            <w:pPr>
              <w:pStyle w:val="Compact"/>
            </w:pPr>
            <w:r>
              <w:t xml:space="preserve">CISA ZTMM v2.0 Networks pillar</w:t>
            </w:r>
          </w:p>
        </w:tc>
      </w:tr>
      <w:tr>
        <w:tc>
          <w:tcPr/>
          <w:p>
            <w:pPr>
              <w:pStyle w:val="Compact"/>
            </w:pPr>
            <w:r>
              <w:t xml:space="preserve">SASE / ZTNA as access model replacing VPN</w:t>
            </w:r>
          </w:p>
        </w:tc>
        <w:tc>
          <w:tcPr/>
          <w:p>
            <w:pPr>
              <w:pStyle w:val="Compact"/>
            </w:pPr>
            <w:r>
              <w:t xml:space="preserve">OMB M-22-09 §4, TIC 3.0</w:t>
            </w:r>
          </w:p>
        </w:tc>
        <w:tc>
          <w:tcPr/>
          <w:p>
            <w:pPr>
              <w:pStyle w:val="Compact"/>
            </w:pPr>
            <w:r>
              <w:t xml:space="preserve">NIST SP 800-207, CISA ZTMM Networks pillar</w:t>
            </w:r>
          </w:p>
        </w:tc>
      </w:tr>
      <w:tr>
        <w:tc>
          <w:tcPr/>
          <w:p>
            <w:pPr>
              <w:pStyle w:val="Compact"/>
            </w:pPr>
            <w:r>
              <w:t xml:space="preserve">Unified DNS as security control (DNSSEC, RPZ, threat blocking)</w:t>
            </w:r>
          </w:p>
        </w:tc>
        <w:tc>
          <w:tcPr/>
          <w:p>
            <w:pPr>
              <w:pStyle w:val="Compact"/>
            </w:pPr>
            <w:r>
              <w:t xml:space="preserve">FedRAMP Moderate SC-20/21</w:t>
            </w:r>
          </w:p>
        </w:tc>
        <w:tc>
          <w:tcPr/>
          <w:p>
            <w:pPr>
              <w:pStyle w:val="Compact"/>
            </w:pPr>
            <w:r>
              <w:t xml:space="preserve">NIST SP 800-53 Rev 5 SC-20, SC-21</w:t>
            </w:r>
          </w:p>
        </w:tc>
      </w:tr>
      <w:tr>
        <w:tc>
          <w:tcPr/>
          <w:p>
            <w:pPr>
              <w:pStyle w:val="Compact"/>
            </w:pPr>
            <w:r>
              <w:t xml:space="preserve">IP address inventory as compliance evidence (CM-8)</w:t>
            </w:r>
          </w:p>
        </w:tc>
        <w:tc>
          <w:tcPr/>
          <w:p>
            <w:pPr>
              <w:pStyle w:val="Compact"/>
            </w:pPr>
            <w:r>
              <w:t xml:space="preserve">FedRAMP Moderate</w:t>
            </w:r>
          </w:p>
        </w:tc>
        <w:tc>
          <w:tcPr/>
          <w:p>
            <w:pPr>
              <w:pStyle w:val="Compact"/>
            </w:pPr>
            <w:r>
              <w:t xml:space="preserve">NIST SP 800-53 Rev 5 CM-8</w:t>
            </w:r>
          </w:p>
        </w:tc>
      </w:tr>
      <w:tr>
        <w:tc>
          <w:tcPr/>
          <w:p>
            <w:pPr>
              <w:pStyle w:val="Compact"/>
            </w:pPr>
            <w:r>
              <w:t xml:space="preserve">Audit provenance: every transaction traceable to authorized source</w:t>
            </w:r>
          </w:p>
        </w:tc>
        <w:tc>
          <w:tcPr/>
          <w:p>
            <w:pPr>
              <w:pStyle w:val="Compact"/>
            </w:pPr>
            <w:r>
              <w:t xml:space="preserve">FedRAMP Moderate AU-2/12</w:t>
            </w:r>
          </w:p>
        </w:tc>
        <w:tc>
          <w:tcPr/>
          <w:p>
            <w:pPr>
              <w:pStyle w:val="Compact"/>
            </w:pPr>
            <w:r>
              <w:t xml:space="preserve">NIST SP 800-53 Rev 5 AU-2, AU-12</w:t>
            </w:r>
          </w:p>
        </w:tc>
      </w:tr>
      <w:tr>
        <w:tc>
          <w:tcPr/>
          <w:p>
            <w:pPr>
              <w:pStyle w:val="Compact"/>
            </w:pPr>
            <w:r>
              <w:t xml:space="preserve">Continuous monitoring; automated KSI enforcement</w:t>
            </w:r>
          </w:p>
        </w:tc>
        <w:tc>
          <w:tcPr/>
          <w:p>
            <w:pPr>
              <w:pStyle w:val="Compact"/>
            </w:pPr>
            <w:r>
              <w:t xml:space="preserve">FedRAMP 20x Consolidated Rules (Jun 25, 2026); OMB Circular A-130</w:t>
            </w:r>
          </w:p>
        </w:tc>
        <w:tc>
          <w:tcPr/>
          <w:p>
            <w:pPr>
              <w:pStyle w:val="Compact"/>
            </w:pPr>
            <w:r>
              <w:t xml:space="preserve">NIST SP 800-37 Rev 2 CA-7; FedRAMP 20x KSIs; mandatory Jan 1, 2027</w:t>
            </w:r>
          </w:p>
        </w:tc>
      </w:tr>
      <w:tr>
        <w:tc>
          <w:tcPr/>
          <w:p>
            <w:pPr>
              <w:pStyle w:val="Compact"/>
            </w:pPr>
            <w:r>
              <w:t xml:space="preserve">Gated actuation as standard governance posture (Advanced maturity)</w:t>
            </w:r>
          </w:p>
        </w:tc>
        <w:tc>
          <w:tcPr/>
          <w:p>
            <w:pPr>
              <w:pStyle w:val="Compact"/>
            </w:pPr>
            <w:r>
              <w:t xml:space="preserve">FedRAMP ConMon, OMB M-22-09</w:t>
            </w:r>
          </w:p>
        </w:tc>
        <w:tc>
          <w:tcPr/>
          <w:p>
            <w:pPr>
              <w:pStyle w:val="Compact"/>
            </w:pPr>
            <w:r>
              <w:t xml:space="preserve">CISA ZTMM v2.0 Automation and Orchestration pillar</w:t>
            </w:r>
          </w:p>
        </w:tc>
      </w:tr>
      <w:tr>
        <w:tc>
          <w:tcPr/>
          <w:p>
            <w:pPr>
              <w:pStyle w:val="Compact"/>
            </w:pPr>
            <w:r>
              <w:t xml:space="preserve">Machine-readable KSI evidence; no manual evidence assembly</w:t>
            </w:r>
          </w:p>
        </w:tc>
        <w:tc>
          <w:tcPr/>
          <w:p>
            <w:pPr>
              <w:pStyle w:val="Compact"/>
            </w:pPr>
            <w:r>
              <w:t xml:space="preserve">FedRAMP 20x Consolidated Rules — Class A/B/C pipelines open Aug 3/31, 2026</w:t>
            </w:r>
          </w:p>
        </w:tc>
        <w:tc>
          <w:tcPr/>
          <w:p>
            <w:pPr>
              <w:pStyle w:val="Compact"/>
            </w:pPr>
            <w:r>
              <w:t xml:space="preserve">FedRAMP 20x JSON evidence format; GitHub-published structured rules</w:t>
            </w:r>
          </w:p>
        </w:tc>
      </w:tr>
    </w:tbl>
    <w:bookmarkEnd w:id="82"/>
    <w:bookmarkStart w:id="108" w:name="appendix-cisco-inr"/>
    <w:p>
      <w:pPr>
        <w:pStyle w:val="Heading1"/>
      </w:pPr>
      <w:r>
        <w:t xml:space="preserve">11. Appendix A — Cisco Catalyst SD-WAN and Microsoft Intelligent Network Routing: Federal Implementation Reference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Scope: FedRAMP Moderate civilian agencies using Microsoft 365 GCC.</w:t>
            </w:r>
            <w:r>
              <w:t xml:space="preserve"> </w:t>
            </w:r>
            <w:r>
              <w:t xml:space="preserve">This appendix is scoped to</w:t>
            </w:r>
            <w:r>
              <w:t xml:space="preserve"> </w:t>
            </w:r>
            <w:r>
              <w:rPr>
                <w:b/>
                <w:bCs/>
              </w:rPr>
              <w:t xml:space="preserve">FedRAMP Moderate</w:t>
            </w:r>
            <w:r>
              <w:t xml:space="preserve"> </w:t>
            </w:r>
            <w:r>
              <w:t xml:space="preserve">— civilian federal agencies operating M365 GCC tenants. GCC High, DoD IL4/IL5, and FedRAMP High authorizations are out of scope. Book 05’s main narrative describes SD-WAN in platform-neutral terms. This appendix addresses the specific combination that most FedRAMP Moderate agencies encounter:</w:t>
            </w:r>
            <w:r>
              <w:t xml:space="preserve"> </w:t>
            </w:r>
            <w:r>
              <w:rPr>
                <w:b/>
                <w:bCs/>
              </w:rPr>
              <w:t xml:space="preserve">Cisco Catalyst SD-WAN</w:t>
            </w:r>
            <w:r>
              <w:t xml:space="preserve"> </w:t>
            </w:r>
            <w:r>
              <w:t xml:space="preserve">as the branch transport platform and</w:t>
            </w:r>
            <w:r>
              <w:t xml:space="preserve"> </w:t>
            </w:r>
            <w:r>
              <w:rPr>
                <w:b/>
                <w:bCs/>
              </w:rPr>
              <w:t xml:space="preserve">Microsoft Intelligent Network Routing (INR)</w:t>
            </w:r>
            <w:r>
              <w:t xml:space="preserve"> </w:t>
            </w:r>
            <w:r>
              <w:t xml:space="preserve">as the M365 traffic optimization layer.</w:t>
            </w:r>
          </w:p>
          <w:p/>
        </w:tc>
      </w:tr>
    </w:tbl>
    <w:bookmarkStart w:id="90" w:name="X69b36ee78dd9a090e7e5b9eacd6d8e488a21350"/>
    <w:p>
      <w:pPr>
        <w:pStyle w:val="Heading2"/>
      </w:pPr>
      <w:r>
        <w:t xml:space="preserve">11.1 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
          <w:bCs/>
        </w:rPr>
        <w:t xml:space="preserve">on-premises managed</w:t>
      </w:r>
      <w:r>
        <w:t xml:space="preserve"> </w:t>
      </w:r>
      <w:r>
        <w:t xml:space="preserve">(SD-WAN Manager self-hosted in agency data center or GovCloud) or</w:t>
      </w:r>
      <w:r>
        <w:t xml:space="preserve"> </w:t>
      </w:r>
      <w:r>
        <w:rPr>
          <w:b/>
          <w:bCs/>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w:t>
      </w:r>
    </w:p>
    <w:tbl>
      <w:tblPr>
        <w:tblStyle w:val="Table"/>
        <w:tblW w:type="pct" w:w="5000"/>
        <w:tblLayout w:type="fixed"/>
        <w:tblLook w:firstRow="1" w:lastRow="0" w:firstColumn="0" w:lastColumn="0" w:noHBand="0" w:noVBand="0" w:val="0020"/>
        <w:tblCaption w:val="Cisco Catalyst SD-WAN Functional Planes"/>
      </w:tblPr>
      <w:tblGrid>
        <w:gridCol w:w="2640"/>
        <w:gridCol w:w="2640"/>
        <w:gridCol w:w="2640"/>
      </w:tblGrid>
      <w:tr>
        <w:trPr>
          <w:tblHeader w:val="on"/>
        </w:trPr>
        <w:tc>
          <w:tcPr/>
          <w:p>
            <w:pPr>
              <w:pStyle w:val="Compact"/>
            </w:pPr>
            <w:r>
              <w:t xml:space="preserve">Plane</w:t>
            </w:r>
          </w:p>
        </w:tc>
        <w:tc>
          <w:tcPr/>
          <w:p>
            <w:pPr>
              <w:pStyle w:val="Compact"/>
            </w:pPr>
            <w:r>
              <w:t xml:space="preserve">Component</w:t>
            </w:r>
          </w:p>
        </w:tc>
        <w:tc>
          <w:tcPr/>
          <w:p>
            <w:pPr>
              <w:pStyle w:val="Compact"/>
            </w:pPr>
            <w:r>
              <w:t xml:space="preserve">What It Does</w:t>
            </w:r>
          </w:p>
        </w:tc>
      </w:tr>
      <w:tr>
        <w:tc>
          <w:tcPr/>
          <w:p>
            <w:pPr>
              <w:pStyle w:val="Compact"/>
            </w:pPr>
            <w:r>
              <w:rPr>
                <w:b/>
                <w:bCs/>
              </w:rPr>
              <w:t xml:space="preserve">Management</w:t>
            </w:r>
          </w:p>
        </w:tc>
        <w:tc>
          <w:tcPr/>
          <w:p>
            <w:pPr>
              <w:pStyle w:val="Compact"/>
            </w:pPr>
            <w:r>
              <w:t xml:space="preserve">SD-WAN Manager (vManage)</w:t>
            </w:r>
          </w:p>
        </w:tc>
        <w:tc>
          <w:tcPr/>
          <w:p>
            <w:pPr>
              <w:pStyle w:val="Compact"/>
            </w:pPr>
            <w:r>
              <w:t xml:space="preserve">Policy authoring, template deployment, telemetry aggregation, audit logging — the authoritative governance surface for all WAN configuration</w:t>
            </w:r>
          </w:p>
        </w:tc>
      </w:tr>
      <w:tr>
        <w:tc>
          <w:tcPr/>
          <w:p>
            <w:pPr>
              <w:pStyle w:val="Compact"/>
            </w:pPr>
            <w:r>
              <w:rPr>
                <w:b/>
                <w:bCs/>
              </w:rPr>
              <w:t xml:space="preserve">Control</w:t>
            </w:r>
          </w:p>
        </w:tc>
        <w:tc>
          <w:tcPr/>
          <w:p>
            <w:pPr>
              <w:pStyle w:val="Compact"/>
            </w:pPr>
            <w:r>
              <w:t xml:space="preserve">SD-WAN Controller (vSmart)</w:t>
            </w:r>
          </w:p>
        </w:tc>
        <w:tc>
          <w:tcPr/>
          <w:p>
            <w:pPr>
              <w:pStyle w:val="Compact"/>
            </w:pPr>
            <w:r>
              <w:t xml:space="preserve">Distributes routing policy and reachability information to all WAN Edge devices; OMP (Overlay Management Protocol) equivalent of BGP for the SD-WAN fabric</w:t>
            </w:r>
          </w:p>
        </w:tc>
      </w:tr>
      <w:tr>
        <w:tc>
          <w:tcPr/>
          <w:p>
            <w:pPr>
              <w:pStyle w:val="Compact"/>
            </w:pPr>
            <w:r>
              <w:rPr>
                <w:b/>
                <w:bCs/>
              </w:rPr>
              <w:t xml:space="preserve">Orchestration</w:t>
            </w:r>
          </w:p>
        </w:tc>
        <w:tc>
          <w:tcPr/>
          <w:p>
            <w:pPr>
              <w:pStyle w:val="Compact"/>
            </w:pPr>
            <w:r>
              <w:t xml:space="preserve">SD-WAN Validator (vBond)</w:t>
            </w:r>
          </w:p>
        </w:tc>
        <w:tc>
          <w:tcPr/>
          <w:p>
            <w:pPr>
              <w:pStyle w:val="Compact"/>
            </w:pPr>
            <w:r>
              <w:t xml:space="preserve">Zero-touch provisioning; authenticates WAN Edge devices before they join the fabric; single network-facing IP that field offices reach to onboard</w:t>
            </w:r>
          </w:p>
        </w:tc>
      </w:tr>
      <w:tr>
        <w:tc>
          <w:tcPr/>
          <w:p>
            <w:pPr>
              <w:pStyle w:val="Compact"/>
            </w:pPr>
            <w:r>
              <w:rPr>
                <w:b/>
                <w:bCs/>
              </w:rPr>
              <w:t xml:space="preserve">Data</w:t>
            </w:r>
          </w:p>
        </w:tc>
        <w:tc>
          <w:tcPr/>
          <w:p>
            <w:pPr>
              <w:pStyle w:val="Compact"/>
            </w:pPr>
            <w:r>
              <w:t xml:space="preserve">WAN Edge (cEdge / ISR / ASR)</w:t>
            </w:r>
          </w:p>
        </w:tc>
        <w:tc>
          <w:tcPr/>
          <w:p>
            <w:pPr>
              <w:pStyle w:val="Compact"/>
            </w:pPr>
            <w:r>
              <w:t xml:space="preserve">The physical or virtual device at the branch; applies policy, measures paths, performs DPI, steers traffic — the only plane users’ packets traverse</w:t>
            </w:r>
          </w:p>
        </w:tc>
      </w:tr>
    </w:tbl>
    <w:p>
      <w:pPr>
        <w:pStyle w:val="CaptionedFigure"/>
      </w:pPr>
      <w:r>
        <w:drawing>
          <wp:inline>
            <wp:extent cx="5334000" cy="2564423"/>
            <wp:effectExtent b="0" l="0" r="0" t="0"/>
            <wp:docPr descr="Cisco Catalyst SD-WAN — Four Functional Planes" title="" id="86" name="Picture"/>
            <a:graphic>
              <a:graphicData uri="http://schemas.openxmlformats.org/drawingml/2006/picture">
                <pic:pic>
                  <pic:nvPicPr>
                    <pic:cNvPr descr="figs/mf-fig-15-cisco-sdwan-planes.png" id="87" name="Picture"/>
                    <pic:cNvPicPr>
                      <a:picLocks noChangeArrowheads="1" noChangeAspect="1"/>
                    </pic:cNvPicPr>
                  </pic:nvPicPr>
                  <pic:blipFill>
                    <a:blip r:embed="rId85"/>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
          <w:bCs/>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important.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p/>
        </w:tc>
      </w:tr>
    </w:tbl>
    <w:bookmarkEnd w:id="90"/>
    <w:bookmarkStart w:id="94" w:name="X5460198fb276c8cde740bafc8b06344fb8862d7"/>
    <w:p>
      <w:pPr>
        <w:pStyle w:val="Heading2"/>
      </w:pPr>
      <w:r>
        <w:t xml:space="preserve">11.2 A.2 — Microsoft Intelligent Network Routing: What It Is</w:t>
      </w:r>
    </w:p>
    <w:p>
      <w:pPr>
        <w:pStyle w:val="FirstParagraph"/>
      </w:pPr>
      <w:r>
        <w:rPr>
          <w:b/>
          <w:bCs/>
        </w:rPr>
        <w:t xml:space="preserve">Microsoft Intelligent Network Routing (INR)</w:t>
      </w:r>
      <w:r>
        <w:t xml:space="preserve"> </w:t>
      </w:r>
      <w:r>
        <w:t xml:space="preserve">is not a product name — it is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
          <w:iCs/>
        </w:rPr>
        <w:t xml:space="preserve">where should agency SD-WAN terminate M365 traffic?</w:t>
      </w:r>
    </w:p>
    <w:p>
      <w:pPr>
        <w:pStyle w:val="BodyText"/>
      </w:pPr>
      <w:r>
        <w:t xml:space="preserve">The model works as follows:</w:t>
      </w:r>
    </w:p>
    <w:p>
      <w:pPr>
        <w:pStyle w:val="BodyText"/>
      </w:pPr>
      <w:r>
        <w:rPr>
          <w:b/>
          <w:bCs/>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
          <w:bCs/>
        </w:rPr>
        <w:t xml:space="preserve">The front door matters more than the destination.</w:t>
      </w:r>
      <w:r>
        <w:t xml:space="preserve"> </w:t>
      </w:r>
      <w:r>
        <w:t xml:space="preserve">The single most important routing decision in a Cisco Catalyst SD-WAN + M365 deployment is:</w:t>
      </w:r>
      <w:r>
        <w:t xml:space="preserve"> </w:t>
      </w:r>
      <w:r>
        <w:rPr>
          <w:i/>
          <w:iCs/>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
          <w:bCs/>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
          <w:bCs/>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
          <w:bCs/>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
          <w:bCs/>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
          <w:bCs/>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
          <w:bCs/>
        </w:rPr>
        <w:t xml:space="preserve">Differentiate M365 traffic categories.</w:t>
      </w:r>
      <w:r>
        <w:t xml:space="preserve"> </w:t>
      </w:r>
      <w:r>
        <w:t xml:space="preserve">Microsoft publishes three endpoint categories —</w:t>
      </w:r>
      <w:r>
        <w:t xml:space="preserve"> </w:t>
      </w:r>
      <w:r>
        <w:rPr>
          <w:b/>
          <w:bCs/>
        </w:rPr>
        <w:t xml:space="preserve">Optimize</w:t>
      </w:r>
      <w:r>
        <w:t xml:space="preserve"> </w:t>
      </w:r>
      <w:r>
        <w:t xml:space="preserve">(Teams media, SharePoint Online),</w:t>
      </w:r>
      <w:r>
        <w:t xml:space="preserve"> </w:t>
      </w:r>
      <w:r>
        <w:rPr>
          <w:b/>
          <w:bCs/>
        </w:rPr>
        <w:t xml:space="preserve">Allow</w:t>
      </w:r>
      <w:r>
        <w:t xml:space="preserve"> </w:t>
      </w:r>
      <w:r>
        <w:t xml:space="preserve">(general M365), and</w:t>
      </w:r>
      <w:r>
        <w:t xml:space="preserve"> </w:t>
      </w:r>
      <w:r>
        <w:rPr>
          <w:b/>
          <w:bCs/>
        </w:rPr>
        <w:t xml:space="preserve">Default</w:t>
      </w:r>
      <w:r>
        <w:t xml:space="preserve"> </w:t>
      </w:r>
      <w:r>
        <w:t xml:space="preserve">(non-M365). The</w:t>
      </w:r>
      <w:r>
        <w:t xml:space="preserve"> </w:t>
      </w:r>
      <w:r>
        <w:rPr>
          <w:b/>
          <w:bCs/>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5334000" cy="2359269"/>
            <wp:effectExtent b="0" l="0" r="0" t="0"/>
            <wp:docPr descr="Microsoft Intelligent Network Routing — Local Breakout vs. Backhaul" title="" id="92" name="Picture"/>
            <a:graphic>
              <a:graphicData uri="http://schemas.openxmlformats.org/drawingml/2006/picture">
                <pic:pic>
                  <pic:nvPicPr>
                    <pic:cNvPr descr="figs/mf-fig-16-inr-routing.png" id="93" name="Picture"/>
                    <pic:cNvPicPr>
                      <a:picLocks noChangeArrowheads="1" noChangeAspect="1"/>
                    </pic:cNvPicPr>
                  </pic:nvPicPr>
                  <pic:blipFill>
                    <a:blip r:embed="rId91"/>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Microsoft Intelligent Network Routing — Local Breakout vs. Backhaul</w:t>
      </w:r>
    </w:p>
    <w:bookmarkEnd w:id="94"/>
    <w:bookmarkStart w:id="95" w:name="X95eeb4b5d2965258901cb62cb853ef92cb59463"/>
    <w:p>
      <w:pPr>
        <w:pStyle w:val="Heading2"/>
      </w:pPr>
      <w:r>
        <w:t xml:space="preserve">11.3 A.3 — The Integration: How Cisco Catalyst SD-WAN Activates Microsoft INR</w:t>
      </w:r>
    </w:p>
    <w:p>
      <w:pPr>
        <w:pStyle w:val="FirstParagraph"/>
      </w:pPr>
      <w:r>
        <w:t xml:space="preserve">The integration is implemented through</w:t>
      </w:r>
      <w:r>
        <w:t xml:space="preserve"> </w:t>
      </w:r>
      <w:r>
        <w:rPr>
          <w:b/>
          <w:bCs/>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
          <w:bCs/>
        </w:rPr>
        <w:t xml:space="preserve">How it works in practice:</w:t>
      </w:r>
    </w:p>
    <w:p>
      <w:pPr>
        <w:numPr>
          <w:ilvl w:val="0"/>
          <w:numId w:val="1005"/>
        </w:numPr>
      </w:pPr>
      <w:r>
        <w:rPr>
          <w:b/>
          <w:bCs/>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
          <w:bCs/>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
          <w:bCs/>
        </w:rPr>
        <w:t xml:space="preserve">Microsoft Peering Service (MAPS).</w:t>
      </w:r>
      <w:r>
        <w:t xml:space="preserve"> </w:t>
      </w:r>
      <w:r>
        <w:t xml:space="preserve">For agencies with MPLS circuits from carriers that participate in</w:t>
      </w:r>
      <w:r>
        <w:t xml:space="preserve"> </w:t>
      </w:r>
      <w:r>
        <w:rPr>
          <w:b/>
          <w:bCs/>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
          <w:bCs/>
        </w:rPr>
        <w:t xml:space="preserve">Azure Virtual WAN integration.</w:t>
      </w:r>
      <w:r>
        <w:t xml:space="preserve"> </w:t>
      </w:r>
      <w:r>
        <w:t xml:space="preserve">For agencies using Azure for other workloads, Cisco Catalyst SD-WAN can peer directly with</w:t>
      </w:r>
      <w:r>
        <w:t xml:space="preserve"> </w:t>
      </w:r>
      <w:r>
        <w:rPr>
          <w:b/>
          <w:bCs/>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w:t>
      </w:r>
    </w:p>
    <w:tbl>
      <w:tblPr>
        <w:tblStyle w:val="Table"/>
        <w:tblW w:type="pct" w:w="5000"/>
        <w:tblLayout w:type="fixed"/>
        <w:tblLook w:firstRow="1" w:lastRow="0" w:firstColumn="0" w:lastColumn="0" w:noHBand="0" w:noVBand="0" w:val="0020"/>
        <w:tblCaption w:val="Cisco Catalyst SD-WAN + Microsoft INR Integration Paths — FedRAMP Moderate"/>
      </w:tblPr>
      <w:tblGrid>
        <w:gridCol w:w="2640"/>
        <w:gridCol w:w="2640"/>
        <w:gridCol w:w="2640"/>
      </w:tblGrid>
      <w:tr>
        <w:trPr>
          <w:tblHeader w:val="on"/>
        </w:trPr>
        <w:tc>
          <w:tcPr/>
          <w:p>
            <w:pPr>
              <w:pStyle w:val="Compact"/>
            </w:pPr>
            <w:r>
              <w:t xml:space="preserve">Integration Path</w:t>
            </w:r>
          </w:p>
        </w:tc>
        <w:tc>
          <w:tcPr/>
          <w:p>
            <w:pPr>
              <w:pStyle w:val="Compact"/>
            </w:pPr>
            <w:r>
              <w:t xml:space="preserve">What Agency Has</w:t>
            </w:r>
          </w:p>
        </w:tc>
        <w:tc>
          <w:tcPr/>
          <w:p>
            <w:pPr>
              <w:pStyle w:val="Compact"/>
            </w:pPr>
            <w:r>
              <w:t xml:space="preserve">What INR Quality Level It Achieves</w:t>
            </w:r>
          </w:p>
        </w:tc>
      </w:tr>
      <w:tr>
        <w:tc>
          <w:tcPr/>
          <w:p>
            <w:pPr>
              <w:pStyle w:val="Compact"/>
            </w:pPr>
            <w:r>
              <w:t xml:space="preserve">Cloud OnRamp + DIA local breakout</w:t>
            </w:r>
          </w:p>
        </w:tc>
        <w:tc>
          <w:tcPr/>
          <w:p>
            <w:pPr>
              <w:pStyle w:val="Compact"/>
            </w:pPr>
            <w:r>
              <w:t xml:space="preserve">DIA circuit at branch; any ISP</w:t>
            </w:r>
          </w:p>
        </w:tc>
        <w:tc>
          <w:tcPr/>
          <w:p>
            <w:pPr>
              <w:pStyle w:val="Compact"/>
            </w:pPr>
            <w:r>
              <w:t xml:space="preserve">Good — reaches nearest Microsoft front door; public internet hand-off</w:t>
            </w:r>
          </w:p>
        </w:tc>
      </w:tr>
      <w:tr>
        <w:tc>
          <w:tcPr/>
          <w:p>
            <w:pPr>
              <w:pStyle w:val="Compact"/>
            </w:pPr>
            <w:r>
              <w:t xml:space="preserve">Cloud OnRamp + 5G local breakout</w:t>
            </w:r>
          </w:p>
        </w:tc>
        <w:tc>
          <w:tcPr/>
          <w:p>
            <w:pPr>
              <w:pStyle w:val="Compact"/>
            </w:pPr>
            <w:r>
              <w:t xml:space="preserve">5G radio at branch</w:t>
            </w:r>
          </w:p>
        </w:tc>
        <w:tc>
          <w:tcPr/>
          <w:p>
            <w:pPr>
              <w:pStyle w:val="Compact"/>
            </w:pPr>
            <w:r>
              <w:t xml:space="preserve">Good to excellent — low latency to local cell tower; ISP hand-off to Microsoft</w:t>
            </w:r>
          </w:p>
        </w:tc>
      </w:tr>
      <w:tr>
        <w:tc>
          <w:tcPr/>
          <w:p>
            <w:pPr>
              <w:pStyle w:val="Compact"/>
            </w:pPr>
            <w:r>
              <w:t xml:space="preserve">Cloud OnRamp + MPLS (non-MAPS carrier)</w:t>
            </w:r>
          </w:p>
        </w:tc>
        <w:tc>
          <w:tcPr/>
          <w:p>
            <w:pPr>
              <w:pStyle w:val="Compact"/>
            </w:pPr>
            <w:r>
              <w:t xml:space="preserve">MPLS circuit; carrier not MAPS-enrolled</w:t>
            </w:r>
          </w:p>
        </w:tc>
        <w:tc>
          <w:tcPr/>
          <w:p>
            <w:pPr>
              <w:pStyle w:val="Compact"/>
            </w:pPr>
            <w:r>
              <w:t xml:space="preserve">Moderate — MPLS reach may introduce geographic suboptimality</w:t>
            </w:r>
          </w:p>
        </w:tc>
      </w:tr>
      <w:tr>
        <w:tc>
          <w:tcPr/>
          <w:p>
            <w:pPr>
              <w:pStyle w:val="Compact"/>
            </w:pPr>
            <w:r>
              <w:t xml:space="preserve">Cloud OnRamp + MAPS carrier</w:t>
            </w:r>
          </w:p>
        </w:tc>
        <w:tc>
          <w:tcPr/>
          <w:p>
            <w:pPr>
              <w:pStyle w:val="Compact"/>
            </w:pPr>
            <w:r>
              <w:t xml:space="preserve">MPLS circuit; MAPS-enrolled carrier</w:t>
            </w:r>
          </w:p>
        </w:tc>
        <w:tc>
          <w:tcPr/>
          <w:p>
            <w:pPr>
              <w:pStyle w:val="Compact"/>
            </w:pPr>
            <w:r>
              <w:t xml:space="preserve">Excellent — private BGP hand-off to Microsoft backbone</w:t>
            </w:r>
          </w:p>
        </w:tc>
      </w:tr>
      <w:tr>
        <w:tc>
          <w:tcPr/>
          <w:p>
            <w:pPr>
              <w:pStyle w:val="Compact"/>
            </w:pPr>
            <w:r>
              <w:t xml:space="preserve">Cisco SD-WAN + Azure Virtual WAN (commercial)</w:t>
            </w:r>
          </w:p>
        </w:tc>
        <w:tc>
          <w:tcPr/>
          <w:p>
            <w:pPr>
              <w:pStyle w:val="Compact"/>
            </w:pPr>
            <w:r>
              <w:t xml:space="preserve">Azure commercial presence; FedRAMP Moderate</w:t>
            </w:r>
          </w:p>
        </w:tc>
        <w:tc>
          <w:tcPr/>
          <w:p>
            <w:pPr>
              <w:pStyle w:val="Compact"/>
            </w:pPr>
            <w:r>
              <w:t xml:space="preserve">Excellent — traffic on Microsoft backbone from Azure VWan hub</w:t>
            </w:r>
          </w:p>
        </w:tc>
      </w:tr>
      <w:tr>
        <w:tc>
          <w:tcPr/>
          <w:p>
            <w:pPr>
              <w:pStyle w:val="Compact"/>
            </w:pPr>
            <w:r>
              <w:t xml:space="preserve">Cisco SD-WAN + Azure Virtual WAN + MAPS</w:t>
            </w:r>
          </w:p>
        </w:tc>
        <w:tc>
          <w:tcPr/>
          <w:p>
            <w:pPr>
              <w:pStyle w:val="Compact"/>
            </w:pPr>
            <w:r>
              <w:t xml:space="preserve">Both Azure presence and MAPS carrier</w:t>
            </w:r>
          </w:p>
        </w:tc>
        <w:tc>
          <w:tcPr/>
          <w:p>
            <w:pPr>
              <w:pStyle w:val="Compact"/>
            </w:pPr>
            <w:r>
              <w:t xml:space="preserve">Optimal — dual private backbone integration; maximum redundancy</w:t>
            </w:r>
          </w:p>
        </w:tc>
      </w:tr>
    </w:tbl>
    <w:bookmarkEnd w:id="95"/>
    <w:bookmarkStart w:id="101" w:name="a.4-fedramp-specific-considerations"/>
    <w:p>
      <w:pPr>
        <w:pStyle w:val="Heading2"/>
      </w:pPr>
      <w:r>
        <w:t xml:space="preserve">11.4 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98" w:name="a.4.1-boundary-documentation"/>
    <w:p>
      <w:pPr>
        <w:pStyle w:val="Heading3"/>
      </w:pPr>
      <w:r>
        <w:t xml:space="preserve">11.4.1 A.4.1 — Boundary Documentation</w:t>
      </w:r>
    </w:p>
    <w:p>
      <w:pPr>
        <w:pStyle w:val="FirstParagraph"/>
      </w:pPr>
      <w:r>
        <w:t xml:space="preserve">FedRAMP requires that the</w:t>
      </w:r>
      <w:r>
        <w:t xml:space="preserve"> </w:t>
      </w:r>
      <w:r>
        <w:rPr>
          <w:b/>
          <w:bCs/>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w:t>
      </w:r>
    </w:p>
    <w:tbl>
      <w:tblPr>
        <w:tblStyle w:val="Table"/>
        <w:tblW w:type="pct" w:w="5000"/>
        <w:tblLayout w:type="fixed"/>
        <w:tblLook w:firstRow="1" w:lastRow="0" w:firstColumn="0" w:lastColumn="0" w:noHBand="0" w:noVBand="0" w:val="0020"/>
        <w:tblCaption w:val="Cisco Catalyst SD-WAN + INR — FedRAMP Boundary Component Classification"/>
      </w:tblPr>
      <w:tblGrid>
        <w:gridCol w:w="2640"/>
        <w:gridCol w:w="2640"/>
        <w:gridCol w:w="2640"/>
      </w:tblGrid>
      <w:tr>
        <w:trPr>
          <w:tblHeader w:val="on"/>
        </w:trPr>
        <w:tc>
          <w:tcPr/>
          <w:p>
            <w:pPr>
              <w:pStyle w:val="Compact"/>
            </w:pPr>
            <w:r>
              <w:t xml:space="preserve">Component</w:t>
            </w:r>
          </w:p>
        </w:tc>
        <w:tc>
          <w:tcPr/>
          <w:p>
            <w:pPr>
              <w:pStyle w:val="Compact"/>
            </w:pPr>
            <w:r>
              <w:t xml:space="preserve">Inside or Outside FedRAMP Boundary</w:t>
            </w:r>
          </w:p>
        </w:tc>
        <w:tc>
          <w:tcPr/>
          <w:p>
            <w:pPr>
              <w:pStyle w:val="Compact"/>
            </w:pPr>
            <w:r>
              <w:t xml:space="preserve">Documentation Required</w:t>
            </w:r>
          </w:p>
        </w:tc>
      </w:tr>
      <w:tr>
        <w:tc>
          <w:tcPr/>
          <w:p>
            <w:pPr>
              <w:pStyle w:val="Compact"/>
            </w:pPr>
            <w:r>
              <w:t xml:space="preserve">Branch WAN Edge (cEdge)</w:t>
            </w:r>
          </w:p>
        </w:tc>
        <w:tc>
          <w:tcPr/>
          <w:p>
            <w:pPr>
              <w:pStyle w:val="Compact"/>
            </w:pPr>
            <w:r>
              <w:rPr>
                <w:b/>
                <w:bCs/>
              </w:rPr>
              <w:t xml:space="preserve">Inside</w:t>
            </w:r>
          </w:p>
        </w:tc>
        <w:tc>
          <w:tcPr/>
          <w:p>
            <w:pPr>
              <w:pStyle w:val="Compact"/>
            </w:pPr>
            <w:r>
              <w:t xml:space="preserve">Component inventory; CM-8 entry</w:t>
            </w:r>
          </w:p>
        </w:tc>
      </w:tr>
      <w:tr>
        <w:tc>
          <w:tcPr/>
          <w:p>
            <w:pPr>
              <w:pStyle w:val="Compact"/>
            </w:pPr>
            <w:r>
              <w:t xml:space="preserve">SD-WAN Manager (self-hosted GovCloud)</w:t>
            </w:r>
          </w:p>
        </w:tc>
        <w:tc>
          <w:tcPr/>
          <w:p>
            <w:pPr>
              <w:pStyle w:val="Compact"/>
            </w:pPr>
            <w:r>
              <w:rPr>
                <w:b/>
                <w:bCs/>
              </w:rPr>
              <w:t xml:space="preserve">Inside</w:t>
            </w:r>
          </w:p>
        </w:tc>
        <w:tc>
          <w:tcPr/>
          <w:p>
            <w:pPr>
              <w:pStyle w:val="Compact"/>
            </w:pPr>
            <w:r>
              <w:t xml:space="preserve">Full FedRAMP control inheritance</w:t>
            </w:r>
          </w:p>
        </w:tc>
      </w:tr>
      <w:tr>
        <w:tc>
          <w:tcPr/>
          <w:p>
            <w:pPr>
              <w:pStyle w:val="Compact"/>
            </w:pPr>
            <w:r>
              <w:t xml:space="preserve">SD-WAN Manager (Cisco cloud SaaS)</w:t>
            </w:r>
          </w:p>
        </w:tc>
        <w:tc>
          <w:tcPr/>
          <w:p>
            <w:pPr>
              <w:pStyle w:val="Compact"/>
            </w:pPr>
            <w:r>
              <w:rPr>
                <w:b/>
                <w:bCs/>
              </w:rPr>
              <w:t xml:space="preserve">Outside</w:t>
            </w:r>
            <w:r>
              <w:t xml:space="preserve"> </w:t>
            </w:r>
            <w:r>
              <w:t xml:space="preserve">— external service</w:t>
            </w:r>
          </w:p>
        </w:tc>
        <w:tc>
          <w:tcPr/>
          <w:p>
            <w:pPr>
              <w:pStyle w:val="Compact"/>
            </w:pPr>
            <w:r>
              <w:t xml:space="preserve">Interconnection Security Agreement (ISA); verify Cisco SD-WAN Manager FedRAMP authorization status</w:t>
            </w:r>
          </w:p>
        </w:tc>
      </w:tr>
      <w:tr>
        <w:tc>
          <w:tcPr/>
          <w:p>
            <w:pPr>
              <w:pStyle w:val="Compact"/>
            </w:pPr>
            <w:r>
              <w:t xml:space="preserve">SD-WAN Controller (vSmart)</w:t>
            </w:r>
          </w:p>
        </w:tc>
        <w:tc>
          <w:tcPr/>
          <w:p>
            <w:pPr>
              <w:pStyle w:val="Compact"/>
            </w:pPr>
            <w:r>
              <w:rPr>
                <w:b/>
                <w:bCs/>
              </w:rPr>
              <w:t xml:space="preserve">Inside</w:t>
            </w:r>
          </w:p>
        </w:tc>
        <w:tc>
          <w:tcPr/>
          <w:p>
            <w:pPr>
              <w:pStyle w:val="Compact"/>
            </w:pPr>
            <w:r>
              <w:t xml:space="preserve">Component inventory</w:t>
            </w:r>
          </w:p>
        </w:tc>
      </w:tr>
      <w:tr>
        <w:tc>
          <w:tcPr/>
          <w:p>
            <w:pPr>
              <w:pStyle w:val="Compact"/>
            </w:pPr>
            <w:r>
              <w:t xml:space="preserve">Microsoft M365 GCC</w:t>
            </w:r>
          </w:p>
        </w:tc>
        <w:tc>
          <w:tcPr/>
          <w:p>
            <w:pPr>
              <w:pStyle w:val="Compact"/>
            </w:pPr>
            <w:r>
              <w:rPr>
                <w:b/>
                <w:bCs/>
              </w:rPr>
              <w:t xml:space="preserve">Outside</w:t>
            </w:r>
            <w:r>
              <w:t xml:space="preserve"> </w:t>
            </w:r>
            <w:r>
              <w:t xml:space="preserve">— FedRAMP-authorized external service</w:t>
            </w:r>
          </w:p>
        </w:tc>
        <w:tc>
          <w:tcPr/>
          <w:p>
            <w:pPr>
              <w:pStyle w:val="Compact"/>
            </w:pPr>
            <w:r>
              <w:t xml:space="preserve">Microsoft CSP ISA; FedRAMP Moderate package reference (M365 GCC)</w:t>
            </w:r>
          </w:p>
        </w:tc>
      </w:tr>
      <w:tr>
        <w:tc>
          <w:tcPr/>
          <w:p>
            <w:pPr>
              <w:pStyle w:val="Compact"/>
            </w:pPr>
            <w:r>
              <w:t xml:space="preserve">Azure Virtual WAN hub (commercial)</w:t>
            </w:r>
          </w:p>
        </w:tc>
        <w:tc>
          <w:tcPr/>
          <w:p>
            <w:pPr>
              <w:pStyle w:val="Compact"/>
            </w:pPr>
            <w:r>
              <w:rPr>
                <w:b/>
                <w:bCs/>
              </w:rPr>
              <w:t xml:space="preserve">Outside</w:t>
            </w:r>
            <w:r>
              <w:t xml:space="preserve"> </w:t>
            </w:r>
            <w:r>
              <w:t xml:space="preserve">— FedRAMP-authorized external service</w:t>
            </w:r>
          </w:p>
        </w:tc>
        <w:tc>
          <w:tcPr/>
          <w:p>
            <w:pPr>
              <w:pStyle w:val="Compact"/>
            </w:pPr>
            <w:r>
              <w:t xml:space="preserve">Azure FedRAMP Moderate package reference; data flow to/from</w:t>
            </w:r>
          </w:p>
        </w:tc>
      </w:tr>
      <w:tr>
        <w:tc>
          <w:tcPr/>
          <w:p>
            <w:pPr>
              <w:pStyle w:val="Compact"/>
            </w:pPr>
            <w:r>
              <w:t xml:space="preserve">MAPS carrier hand-off point</w:t>
            </w:r>
          </w:p>
        </w:tc>
        <w:tc>
          <w:tcPr/>
          <w:p>
            <w:pPr>
              <w:pStyle w:val="Compact"/>
            </w:pPr>
            <w:r>
              <w:rPr>
                <w:b/>
                <w:bCs/>
              </w:rPr>
              <w:t xml:space="preserve">Outside</w:t>
            </w:r>
            <w:r>
              <w:t xml:space="preserve"> </w:t>
            </w:r>
            <w:r>
              <w:t xml:space="preserve">— carrier service</w:t>
            </w:r>
          </w:p>
        </w:tc>
        <w:tc>
          <w:tcPr/>
          <w:p>
            <w:pPr>
              <w:pStyle w:val="Compact"/>
            </w:pPr>
            <w:r>
              <w:t xml:space="preserve">Service agreement; no federal data at rest at carrier POP</w:t>
            </w:r>
          </w:p>
        </w:tc>
      </w:tr>
      <w:tr>
        <w:tc>
          <w:tcPr/>
          <w:p>
            <w:pPr>
              <w:pStyle w:val="Compact"/>
            </w:pPr>
            <w:r>
              <w:t xml:space="preserve">Cloud OnRamp probes to M365</w:t>
            </w:r>
          </w:p>
        </w:tc>
        <w:tc>
          <w:tcPr/>
          <w:p>
            <w:pPr>
              <w:pStyle w:val="Compact"/>
            </w:pPr>
            <w:r>
              <w:t xml:space="preserve">Telemetry only; no federal data in probe</w:t>
            </w:r>
          </w:p>
        </w:tc>
        <w:tc>
          <w:tcPr/>
          <w:p>
            <w:pPr>
              <w:pStyle w:val="Compact"/>
            </w:pPr>
            <w:r>
              <w:t xml:space="preserve">Document as monitoring telemetry; not a data flow</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important.png" id="9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p/>
        </w:tc>
      </w:tr>
    </w:tbl>
    <w:bookmarkEnd w:id="98"/>
    <w:bookmarkStart w:id="99" w:name="a.4.2-tic-3.0-alignment"/>
    <w:p>
      <w:pPr>
        <w:pStyle w:val="Heading3"/>
      </w:pPr>
      <w:r>
        <w:t xml:space="preserve">11.4.2 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
          <w:bCs/>
        </w:rPr>
        <w:t xml:space="preserve">aligned with TIC 3.0 Use Case E</w:t>
      </w:r>
      <w:r>
        <w:t xml:space="preserve"> </w:t>
      </w:r>
      <w:r>
        <w:t xml:space="preserve">— but only if the following conditions are met:</w:t>
      </w:r>
    </w:p>
    <w:p>
      <w:pPr>
        <w:numPr>
          <w:ilvl w:val="0"/>
          <w:numId w:val="1006"/>
        </w:numPr>
      </w:pPr>
      <w:r>
        <w:rPr>
          <w:b/>
          <w:bCs/>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
          <w:bCs/>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
          <w:bCs/>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
          <w:bCs/>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
          <w:bCs/>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99"/>
    <w:bookmarkStart w:id="100" w:name="a.4.3-nist-control-satisfaction"/>
    <w:p>
      <w:pPr>
        <w:pStyle w:val="Heading3"/>
      </w:pPr>
      <w:r>
        <w:t xml:space="preserve">11.4.3 A.4.3 — NIST Control Satisfaction</w:t>
      </w:r>
    </w:p>
    <w:p>
      <w:pPr>
        <w:pStyle w:val="TableCaption"/>
      </w:pPr>
      <w:r>
        <w:t xml:space="preserve">Cisco Catalyst SD-WAN + Microsoft INR — NIST SP 800-53 Rev 5 Control Satisfaction</w:t>
      </w:r>
    </w:p>
    <w:tbl>
      <w:tblPr>
        <w:tblStyle w:val="Table"/>
        <w:tblW w:type="pct" w:w="5000"/>
        <w:tblLayout w:type="fixed"/>
        <w:tblLook w:firstRow="1" w:lastRow="0" w:firstColumn="0" w:lastColumn="0" w:noHBand="0" w:noVBand="0" w:val="0020"/>
        <w:tblCaption w:val="Cisco Catalyst SD-WAN + Microsoft INR — NIST SP 800-53 Rev 5 Control Satisfaction"/>
      </w:tblPr>
      <w:tblGrid>
        <w:gridCol w:w="2640"/>
        <w:gridCol w:w="2640"/>
        <w:gridCol w:w="2640"/>
      </w:tblGrid>
      <w:tr>
        <w:trPr>
          <w:tblHeader w:val="on"/>
        </w:trPr>
        <w:tc>
          <w:tcPr/>
          <w:p>
            <w:pPr>
              <w:pStyle w:val="Compact"/>
            </w:pPr>
            <w:r>
              <w:t xml:space="preserve">NIST SP 800-53 Rev 5 Control</w:t>
            </w:r>
          </w:p>
        </w:tc>
        <w:tc>
          <w:tcPr/>
          <w:p>
            <w:pPr>
              <w:pStyle w:val="Compact"/>
            </w:pPr>
            <w:r>
              <w:t xml:space="preserve">What It Requires</w:t>
            </w:r>
          </w:p>
        </w:tc>
        <w:tc>
          <w:tcPr/>
          <w:p>
            <w:pPr>
              <w:pStyle w:val="Compact"/>
            </w:pPr>
            <w:r>
              <w:t xml:space="preserve">How Cisco Catalyst SD-WAN + INR Satisfies It</w:t>
            </w:r>
          </w:p>
        </w:tc>
      </w:tr>
      <w:tr>
        <w:tc>
          <w:tcPr/>
          <w:p>
            <w:pPr>
              <w:pStyle w:val="Compact"/>
            </w:pPr>
            <w:r>
              <w:rPr>
                <w:b/>
                <w:bCs/>
              </w:rPr>
              <w:t xml:space="preserve">SC-8</w:t>
            </w:r>
            <w:r>
              <w:t xml:space="preserve"> </w:t>
            </w:r>
            <w:r>
              <w:t xml:space="preserve">Transmission Confidentiality and Integrity</w:t>
            </w:r>
          </w:p>
        </w:tc>
        <w:tc>
          <w:tcPr/>
          <w:p>
            <w:pPr>
              <w:pStyle w:val="Compact"/>
            </w:pPr>
            <w:r>
              <w:t xml:space="preserve">Encrypt all WAN traffic</w:t>
            </w:r>
          </w:p>
        </w:tc>
        <w:tc>
          <w:tcPr/>
          <w:p>
            <w:pPr>
              <w:pStyle w:val="Compact"/>
            </w:pPr>
            <w:r>
              <w:t xml:space="preserve">IPsec BFD tunnels between all cEdge WAN Edges — including DIA and 5G paths; Cisco’s DTLS-over-UDP for data-plane encryption; cipher suite is configurable to FIPS 140-3 validated AES-256-GCM</w:t>
            </w:r>
          </w:p>
        </w:tc>
      </w:tr>
      <w:tr>
        <w:tc>
          <w:tcPr/>
          <w:p>
            <w:pPr>
              <w:pStyle w:val="Compact"/>
            </w:pPr>
            <w:r>
              <w:rPr>
                <w:b/>
                <w:bCs/>
              </w:rPr>
              <w:t xml:space="preserve">SC-20 / SC-21</w:t>
            </w:r>
            <w:r>
              <w:t xml:space="preserve"> </w:t>
            </w:r>
            <w:r>
              <w:t xml:space="preserve">Secure DNS</w:t>
            </w:r>
          </w:p>
        </w:tc>
        <w:tc>
          <w:tcPr/>
          <w:p>
            <w:pPr>
              <w:pStyle w:val="Compact"/>
            </w:pPr>
            <w:r>
              <w:t xml:space="preserve">DNS responses integrity-protected</w:t>
            </w:r>
          </w:p>
        </w:tc>
        <w:tc>
          <w:tcPr/>
          <w:p>
            <w:pPr>
              <w:pStyle w:val="Compact"/>
            </w:pPr>
            <w:r>
              <w:t xml:space="preserve">Cisco Umbrella (DNS-over-HTTPS / DNS-over-TLS) on branch; SD-WAN Manager integrates Umbrella DNS policy — all branch DNS queries resolve through Umbrella, not local recursive resolvers</w:t>
            </w:r>
          </w:p>
        </w:tc>
      </w:tr>
      <w:tr>
        <w:tc>
          <w:tcPr/>
          <w:p>
            <w:pPr>
              <w:pStyle w:val="Compact"/>
            </w:pPr>
            <w:r>
              <w:rPr>
                <w:b/>
                <w:bCs/>
              </w:rPr>
              <w:t xml:space="preserve">AC-4</w:t>
            </w:r>
            <w:r>
              <w:t xml:space="preserve"> </w:t>
            </w:r>
            <w:r>
              <w:t xml:space="preserve">Information Flow Enforcement</w:t>
            </w:r>
          </w:p>
        </w:tc>
        <w:tc>
          <w:tcPr/>
          <w:p>
            <w:pPr>
              <w:pStyle w:val="Compact"/>
            </w:pPr>
            <w:r>
              <w:t xml:space="preserve">Application-layer flow control</w:t>
            </w:r>
          </w:p>
        </w:tc>
        <w:tc>
          <w:tcPr/>
          <w:p>
            <w:pPr>
              <w:pStyle w:val="Compac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pPr>
            <w:r>
              <w:rPr>
                <w:b/>
                <w:bCs/>
              </w:rPr>
              <w:t xml:space="preserve">AU-2 / AU-12</w:t>
            </w:r>
            <w:r>
              <w:t xml:space="preserve"> </w:t>
            </w:r>
            <w:r>
              <w:t xml:space="preserve">Audit Events / Audit Record Generation</w:t>
            </w:r>
          </w:p>
        </w:tc>
        <w:tc>
          <w:tcPr/>
          <w:p>
            <w:pPr>
              <w:pStyle w:val="Compact"/>
            </w:pPr>
            <w:r>
              <w:t xml:space="preserve">Every flow traceable to source, destination, application, policy decision</w:t>
            </w:r>
          </w:p>
        </w:tc>
        <w:tc>
          <w:tcPr/>
          <w:p>
            <w:pPr>
              <w:pStyle w:val="Compact"/>
            </w:pPr>
            <w:r>
              <w:t xml:space="preserve">SD-WAN Manager retains full flow telemetry: WAN Edge ID, source/destination IP, application ID, path selected, policy applied, timestamp; exported via syslog or streaming telemetry to SIEM</w:t>
            </w:r>
          </w:p>
        </w:tc>
      </w:tr>
      <w:tr>
        <w:tc>
          <w:tcPr/>
          <w:p>
            <w:pPr>
              <w:pStyle w:val="Compact"/>
            </w:pPr>
            <w:r>
              <w:rPr>
                <w:b/>
                <w:bCs/>
              </w:rPr>
              <w:t xml:space="preserve">CA-7</w:t>
            </w:r>
            <w:r>
              <w:t xml:space="preserve"> </w:t>
            </w:r>
            <w:r>
              <w:t xml:space="preserve">Continuous Monitoring</w:t>
            </w:r>
          </w:p>
        </w:tc>
        <w:tc>
          <w:tcPr/>
          <w:p>
            <w:pPr>
              <w:pStyle w:val="Compact"/>
            </w:pPr>
            <w:r>
              <w:t xml:space="preserve">Real-time observation of security posture</w:t>
            </w:r>
          </w:p>
        </w:tc>
        <w:tc>
          <w:tcPr/>
          <w:p>
            <w:pPr>
              <w:pStyle w:val="Compact"/>
            </w:pPr>
            <w:r>
              <w:t xml:space="preserve">Cloud OnRamp path-quality metrics (per-transport latency, jitter, loss) exported continuously; Umbrella DNS security events; deviation from desired path policy triggers alert in SD-WAN Manager</w:t>
            </w:r>
          </w:p>
        </w:tc>
      </w:tr>
      <w:tr>
        <w:tc>
          <w:tcPr/>
          <w:p>
            <w:pPr>
              <w:pStyle w:val="Compact"/>
            </w:pPr>
            <w:r>
              <w:rPr>
                <w:b/>
                <w:bCs/>
              </w:rPr>
              <w:t xml:space="preserve">SI-4</w:t>
            </w:r>
            <w:r>
              <w:t xml:space="preserve"> </w:t>
            </w:r>
            <w:r>
              <w:t xml:space="preserve">System Monitoring</w:t>
            </w:r>
          </w:p>
        </w:tc>
        <w:tc>
          <w:tcPr/>
          <w:p>
            <w:pPr>
              <w:pStyle w:val="Compact"/>
            </w:pPr>
            <w:r>
              <w:t xml:space="preserve">Detect anomalies in communications</w:t>
            </w:r>
          </w:p>
        </w:tc>
        <w:tc>
          <w:tcPr/>
          <w:p>
            <w:pPr>
              <w:pStyle w:val="Compact"/>
            </w:pPr>
            <w:r>
              <w:t xml:space="preserve">Cisco SD-WAN integrates with Cisco Cyber Vision and Cisco XDR for behavioral anomaly detection; Umbrella cloud-delivered security provides CASB and threat intelligence integration</w:t>
            </w:r>
          </w:p>
        </w:tc>
      </w:tr>
      <w:tr>
        <w:tc>
          <w:tcPr/>
          <w:p>
            <w:pPr>
              <w:pStyle w:val="Compact"/>
            </w:pPr>
            <w:r>
              <w:rPr>
                <w:b/>
                <w:bCs/>
              </w:rPr>
              <w:t xml:space="preserve">CM-7</w:t>
            </w:r>
            <w:r>
              <w:t xml:space="preserve"> </w:t>
            </w:r>
            <w:r>
              <w:t xml:space="preserve">Least Functionality</w:t>
            </w:r>
          </w:p>
        </w:tc>
        <w:tc>
          <w:tcPr/>
          <w:p>
            <w:pPr>
              <w:pStyle w:val="Compact"/>
            </w:pPr>
            <w:r>
              <w:t xml:space="preserve">Disable unused services on branch devices</w:t>
            </w:r>
          </w:p>
        </w:tc>
        <w:tc>
          <w:tcPr/>
          <w:p>
            <w:pPr>
              <w:pStyle w:val="Compact"/>
            </w:pPr>
            <w:r>
              <w:t xml:space="preserve">cEdge configuration templates in SD-WAN Manager enforce device hardening baseline (no unused services, no local management plane access); template drift is detected and alerted by SD-WAN Manager</w:t>
            </w:r>
          </w:p>
        </w:tc>
      </w:tr>
      <w:tr>
        <w:tc>
          <w:tcPr/>
          <w:p>
            <w:pPr>
              <w:pStyle w:val="Compact"/>
            </w:pPr>
            <w:r>
              <w:rPr>
                <w:b/>
                <w:bCs/>
              </w:rPr>
              <w:t xml:space="preserve">CM-2</w:t>
            </w:r>
            <w:r>
              <w:t xml:space="preserve"> </w:t>
            </w:r>
            <w:r>
              <w:t xml:space="preserve">Baseline Configuration</w:t>
            </w:r>
          </w:p>
        </w:tc>
        <w:tc>
          <w:tcPr/>
          <w:p>
            <w:pPr>
              <w:pStyle w:val="Compact"/>
            </w:pPr>
            <w:r>
              <w:t xml:space="preserve">Maintain authorized baseline</w:t>
            </w:r>
          </w:p>
        </w:tc>
        <w:tc>
          <w:tcPr/>
          <w:p>
            <w:pPr>
              <w:pStyle w:val="Compact"/>
            </w:pPr>
            <w:r>
              <w:t xml:space="preserve">SD-WAN Manager configuration templates ARE the authoritative baseline — every device must conform to the template; configuration drift triggers an automated alert and corrective action</w:t>
            </w:r>
          </w:p>
        </w:tc>
      </w:tr>
      <w:tr>
        <w:tc>
          <w:tcPr/>
          <w:p>
            <w:pPr>
              <w:pStyle w:val="Compact"/>
            </w:pPr>
            <w:r>
              <w:rPr>
                <w:b/>
                <w:bCs/>
              </w:rPr>
              <w:t xml:space="preserve">IR-4</w:t>
            </w:r>
            <w:r>
              <w:t xml:space="preserve"> </w:t>
            </w:r>
            <w:r>
              <w:t xml:space="preserve">Incident Handling</w:t>
            </w:r>
          </w:p>
        </w:tc>
        <w:tc>
          <w:tcPr/>
          <w:p>
            <w:pPr>
              <w:pStyle w:val="Compact"/>
            </w:pPr>
            <w:r>
              <w:t xml:space="preserve">Contain and isolate during incident</w:t>
            </w:r>
          </w:p>
        </w:tc>
        <w:tc>
          <w:tcPr/>
          <w:p>
            <w:pPr>
              <w:pStyle w:val="Compact"/>
            </w:pPr>
            <w:r>
              <w:t xml:space="preserve">SD-WAN Manager policy can be pushed to isolate a branch or device within seconds — change the data-plane policy to block all traffic except OOB management; no physical access to branch required</w:t>
            </w:r>
          </w:p>
        </w:tc>
      </w:tr>
    </w:tbl>
    <w:bookmarkEnd w:id="100"/>
    <w:bookmarkEnd w:id="101"/>
    <w:bookmarkStart w:id="104" w:name="a.5-fedramp-20x-ksi-evidence-contracts"/>
    <w:p>
      <w:pPr>
        <w:pStyle w:val="Heading2"/>
      </w:pPr>
      <w:r>
        <w:t xml:space="preserve">11.5 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w:t>
      </w:r>
    </w:p>
    <w:tbl>
      <w:tblPr>
        <w:tblStyle w:val="Table"/>
        <w:tblW w:type="pct" w:w="5000"/>
        <w:tblLayout w:type="fixed"/>
        <w:tblLook w:firstRow="1" w:lastRow="0" w:firstColumn="0" w:lastColumn="0" w:noHBand="0" w:noVBand="0" w:val="0020"/>
        <w:tblCaption w:val="Cisco Catalyst SD-WAN + Microsoft INR — FedRAMP 20x KSI Evidence Contracts"/>
      </w:tblPr>
      <w:tblGrid>
        <w:gridCol w:w="1980"/>
        <w:gridCol w:w="1980"/>
        <w:gridCol w:w="1980"/>
        <w:gridCol w:w="1980"/>
      </w:tblGrid>
      <w:tr>
        <w:trPr>
          <w:tblHeader w:val="on"/>
        </w:trPr>
        <w:tc>
          <w:tcPr/>
          <w:p>
            <w:pPr>
              <w:pStyle w:val="Compact"/>
            </w:pPr>
            <w:r>
              <w:t xml:space="preserve">FedRAMP 20x KSI Theme</w:t>
            </w:r>
          </w:p>
        </w:tc>
        <w:tc>
          <w:tcPr/>
          <w:p>
            <w:pPr>
              <w:pStyle w:val="Compact"/>
            </w:pPr>
            <w:r>
              <w:t xml:space="preserve">CR26 Control</w:t>
            </w:r>
          </w:p>
        </w:tc>
        <w:tc>
          <w:tcPr/>
          <w:p>
            <w:pPr>
              <w:pStyle w:val="Compact"/>
            </w:pPr>
            <w:r>
              <w:t xml:space="preserve">What Cisco Catalyst SD-WAN Produces</w:t>
            </w:r>
          </w:p>
        </w:tc>
        <w:tc>
          <w:tcPr/>
          <w:p>
            <w:pPr>
              <w:pStyle w:val="Compact"/>
            </w:pPr>
            <w:r>
              <w:t xml:space="preserve">Evidence Format</w:t>
            </w:r>
          </w:p>
        </w:tc>
      </w:tr>
      <w:tr>
        <w:tc>
          <w:tcPr/>
          <w:p>
            <w:pPr>
              <w:pStyle w:val="Compact"/>
            </w:pPr>
            <w:r>
              <w:rPr>
                <w:b/>
                <w:bCs/>
              </w:rPr>
              <w:t xml:space="preserve">KSI-CNA</w:t>
            </w:r>
            <w:r>
              <w:t xml:space="preserve"> </w:t>
            </w:r>
            <w:r>
              <w:t xml:space="preserve">(Cloud Native Architecture)</w:t>
            </w:r>
          </w:p>
        </w:tc>
        <w:tc>
          <w:tcPr/>
          <w:p>
            <w:pPr>
              <w:pStyle w:val="Compact"/>
            </w:pPr>
            <w:r>
              <w:t xml:space="preserve">KSI-CNA-EIS</w:t>
            </w:r>
          </w:p>
        </w:tc>
        <w:tc>
          <w:tcPr/>
          <w:p>
            <w:pPr>
              <w:pStyle w:val="Compact"/>
            </w:pPr>
            <w:r>
              <w:t xml:space="preserve">Cloud OnRamp SaaS policy defines authorized M365 egress paths; deviation from policy is a logged event</w:t>
            </w:r>
          </w:p>
        </w:tc>
        <w:tc>
          <w:tcPr/>
          <w:p>
            <w:pPr>
              <w:pStyle w:val="Compact"/>
            </w:pPr>
            <w:r>
              <w:t xml:space="preserve">SD-WAN Manager audit log (JSON)</w:t>
            </w:r>
          </w:p>
        </w:tc>
      </w:tr>
      <w:tr>
        <w:tc>
          <w:tcPr/>
          <w:p>
            <w:pPr>
              <w:pStyle w:val="Compact"/>
            </w:pPr>
            <w:r>
              <w:rPr>
                <w:b/>
                <w:bCs/>
              </w:rPr>
              <w:t xml:space="preserve">KSI-MLA</w:t>
            </w:r>
            <w:r>
              <w:t xml:space="preserve"> </w:t>
            </w:r>
            <w:r>
              <w:t xml:space="preserve">(Monitoring, Logging, Alerting)</w:t>
            </w:r>
          </w:p>
        </w:tc>
        <w:tc>
          <w:tcPr/>
          <w:p>
            <w:pPr>
              <w:pStyle w:val="Compact"/>
            </w:pPr>
            <w:r>
              <w:t xml:space="preserve">KSI-MLA-OSM</w:t>
            </w:r>
          </w:p>
        </w:tc>
        <w:tc>
          <w:tcPr/>
          <w:p>
            <w:pPr>
              <w:pStyle w:val="Compact"/>
            </w:pPr>
            <w:r>
              <w:t xml:space="preserve">Per-flow telemetry: every WAN Edge flow with application ID, path selected, policy applied, timestamp</w:t>
            </w:r>
          </w:p>
        </w:tc>
        <w:tc>
          <w:tcPr/>
          <w:p>
            <w:pPr>
              <w:pStyle w:val="Compact"/>
            </w:pPr>
            <w:r>
              <w:t xml:space="preserve">Streaming telemetry to SIEM (structured JSON or syslog)</w:t>
            </w:r>
          </w:p>
        </w:tc>
      </w:tr>
      <w:tr>
        <w:tc>
          <w:tcPr/>
          <w:p>
            <w:pPr>
              <w:pStyle w:val="Compact"/>
            </w:pPr>
            <w:r>
              <w:rPr>
                <w:b/>
                <w:bCs/>
              </w:rPr>
              <w:t xml:space="preserve">KSI-MLA</w:t>
            </w:r>
          </w:p>
        </w:tc>
        <w:tc>
          <w:tcPr/>
          <w:p>
            <w:pPr>
              <w:pStyle w:val="Compact"/>
            </w:pPr>
            <w:r>
              <w:t xml:space="preserve">KSI-MLA-EVC</w:t>
            </w:r>
          </w:p>
        </w:tc>
        <w:tc>
          <w:tcPr/>
          <w:p>
            <w:pPr>
              <w:pStyle w:val="Compact"/>
            </w:pPr>
            <w:r>
              <w:t xml:space="preserve">SD-WAN Manager alert correlation: path quality degradation + flow reroute event = correlated security event</w:t>
            </w:r>
          </w:p>
        </w:tc>
        <w:tc>
          <w:tcPr/>
          <w:p>
            <w:pPr>
              <w:pStyle w:val="Compact"/>
            </w:pPr>
            <w:r>
              <w:t xml:space="preserve">Cisco XDR or SIEM correlation rule</w:t>
            </w:r>
          </w:p>
        </w:tc>
      </w:tr>
      <w:tr>
        <w:tc>
          <w:tcPr/>
          <w:p>
            <w:pPr>
              <w:pStyle w:val="Compact"/>
            </w:pPr>
            <w:r>
              <w:rPr>
                <w:b/>
                <w:bCs/>
              </w:rPr>
              <w:t xml:space="preserve">KSI-SVC</w:t>
            </w:r>
            <w:r>
              <w:t xml:space="preserve"> </w:t>
            </w:r>
            <w:r>
              <w:t xml:space="preserve">(Service Configuration)</w:t>
            </w:r>
          </w:p>
        </w:tc>
        <w:tc>
          <w:tcPr/>
          <w:p>
            <w:pPr>
              <w:pStyle w:val="Compact"/>
            </w:pPr>
            <w:r>
              <w:t xml:space="preserve">KSI-SVC-VRI</w:t>
            </w:r>
          </w:p>
        </w:tc>
        <w:tc>
          <w:tcPr/>
          <w:p>
            <w:pPr>
              <w:pStyle w:val="Compact"/>
            </w:pPr>
            <w:r>
              <w:t xml:space="preserve">cEdge device configuration must match SD-WAN Manager template; any drift is detected and logged</w:t>
            </w:r>
          </w:p>
        </w:tc>
        <w:tc>
          <w:tcPr/>
          <w:p>
            <w:pPr>
              <w:pStyle w:val="Compact"/>
            </w:pPr>
            <w:r>
              <w:t xml:space="preserve">Configuration compliance report (SD-WAN Manager REST API export)</w:t>
            </w:r>
          </w:p>
        </w:tc>
      </w:tr>
      <w:tr>
        <w:tc>
          <w:tcPr/>
          <w:p>
            <w:pPr>
              <w:pStyle w:val="Compact"/>
            </w:pPr>
            <w:r>
              <w:rPr>
                <w:b/>
                <w:bCs/>
              </w:rPr>
              <w:t xml:space="preserve">KSI-CMT</w:t>
            </w:r>
            <w:r>
              <w:t xml:space="preserve"> </w:t>
            </w:r>
            <w:r>
              <w:t xml:space="preserve">(Change Management)</w:t>
            </w:r>
          </w:p>
        </w:tc>
        <w:tc>
          <w:tcPr/>
          <w:p>
            <w:pPr>
              <w:pStyle w:val="Compact"/>
            </w:pPr>
            <w:r>
              <w:t xml:space="preserve">KSI-CMT-LMC</w:t>
            </w:r>
          </w:p>
        </w:tc>
        <w:tc>
          <w:tcPr/>
          <w:p>
            <w:pPr>
              <w:pStyle w:val="Compact"/>
            </w:pPr>
            <w:r>
              <w:t xml:space="preserve">Every policy change in SD-WAN Manager is a timestamped audit log entry: who changed what, when, from what prior state</w:t>
            </w:r>
          </w:p>
        </w:tc>
        <w:tc>
          <w:tcPr/>
          <w:p>
            <w:pPr>
              <w:pStyle w:val="Compact"/>
            </w:pPr>
            <w:r>
              <w:t xml:space="preserve">SD-WAN Manager change audit log (JSON)</w:t>
            </w:r>
          </w:p>
        </w:tc>
      </w:tr>
      <w:tr>
        <w:tc>
          <w:tcPr/>
          <w:p>
            <w:pPr>
              <w:pStyle w:val="Compact"/>
            </w:pPr>
            <w:r>
              <w:rPr>
                <w:b/>
                <w:bCs/>
              </w:rPr>
              <w:t xml:space="preserve">KSI-CMT</w:t>
            </w:r>
          </w:p>
        </w:tc>
        <w:tc>
          <w:tcPr/>
          <w:p>
            <w:pPr>
              <w:pStyle w:val="Compact"/>
            </w:pPr>
            <w:r>
              <w:t xml:space="preserve">KSI-CMT-VTD</w:t>
            </w:r>
          </w:p>
        </w:tc>
        <w:tc>
          <w:tcPr/>
          <w:p>
            <w:pPr>
              <w:pStyle w:val="Compact"/>
            </w:pPr>
            <w:r>
              <w:t xml:space="preserve">Policy template validation runs in dry-run mode before commit; template is version-controlled in Git</w:t>
            </w:r>
          </w:p>
        </w:tc>
        <w:tc>
          <w:tcPr/>
          <w:p>
            <w:pPr>
              <w:pStyle w:val="Compact"/>
            </w:pPr>
            <w:r>
              <w:t xml:space="preserve">SD-WAN Manager template commit log + Git SHA reference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AAN slot binding for this appendix.</w:t>
            </w:r>
            <w:r>
              <w:t xml:space="preserve"> </w:t>
            </w:r>
            <w:r>
              <w:t xml:space="preserve">The evidence contracts in the table above are satisfied by AAN slot 03 (network control plane), which binds to Book 05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p/>
        </w:tc>
      </w:tr>
    </w:tbl>
    <w:bookmarkEnd w:id="104"/>
    <w:bookmarkStart w:id="107" w:name="X7a81c79d1d042ee9d2d4412f6dbd9142b92d417"/>
    <w:p>
      <w:pPr>
        <w:pStyle w:val="Heading2"/>
      </w:pPr>
      <w:r>
        <w:t xml:space="preserve">11.6 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BodyText"/>
      </w:pPr>
      <w:r>
        <w:rPr>
          <w:b/>
          <w:bCs/>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
          <w:bCs/>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
          <w:bCs/>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
          <w:bCs/>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
          <w:bCs/>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
          <w:bCs/>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p/>
        </w:tc>
      </w:tr>
    </w:tbl>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77" Target="media/rId77.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30" Target="media/rId30.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hyperlink" Id="rId27" Target="Book_01_FedAAN_SSA_Landing_Zone_IPAM_FedRAMP.qmd" TargetMode="External" /><Relationship Type="http://schemas.openxmlformats.org/officeDocument/2006/relationships/hyperlink" Id="rId56" Target="Book_06_FedAAN_Federal_Telecommunications_Modernization.qmd" TargetMode="External" /></Relationships>
</file>

<file path=word/_rels/footnotes.xml.rels><?xml version="1.0" encoding="UTF-8"?><Relationships xmlns="http://schemas.openxmlformats.org/package/2006/relationships"><Relationship Type="http://schemas.openxmlformats.org/officeDocument/2006/relationships/hyperlink" Id="rId27" Target="Book_01_FedAAN_SSA_Landing_Zone_IPAM_FedRAMP.qmd" TargetMode="External" /><Relationship Type="http://schemas.openxmlformats.org/officeDocument/2006/relationships/hyperlink" Id="rId56" Target="Book_06_FedAAN_Federal_Telecommunications_Moderniz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05 — From Mainframe to Application-Aware Modernization</dc:title>
  <dc:creator>Michael Stratton</dc:creator>
  <cp:keywords/>
  <dcterms:created xsi:type="dcterms:W3CDTF">2026-07-06T11:46:43Z</dcterms:created>
  <dcterms:modified xsi:type="dcterms:W3CDTF">2026-07-06T11:46:43Z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How Federal Agencies Lost Their Single Source of Truth Across Forty Years — and What Zero Trust, CISA, NIST, and FedRAMP 20x Require to Restore It</vt:lpwstr>
  </property>
  <property fmtid="{D5CDD505-2E9C-101B-9397-08002B2CF9AE}" pid="13" name="toc-title">
    <vt:lpwstr>Table of contents</vt:lpwstr>
  </property>
</Properties>
</file>