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6"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5" w:name="fig-imp01"/>
          <w:p>
            <w:pPr>
              <w:pStyle w:val="Compact"/>
              <w:jc w:val="center"/>
            </w:pPr>
            <w:r>
              <w:drawing>
                <wp:inline>
                  <wp:extent cx="5334000" cy="1856642"/>
                  <wp:effectExtent b="0" l="0" r="0" t="0"/>
                  <wp:docPr descr="" title="" id="13" name="Picture"/>
                  <a:graphic>
                    <a:graphicData uri="http://schemas.openxmlformats.org/drawingml/2006/picture">
                      <pic:pic>
                        <pic:nvPicPr>
                          <pic:cNvPr descr="figs/imp-fig-01-book-run-order.png" id="14" name="Picture"/>
                          <pic:cNvPicPr>
                            <a:picLocks noChangeArrowheads="1" noChangeAspect="1"/>
                          </pic:cNvPicPr>
                        </pic:nvPicPr>
                        <pic:blipFill>
                          <a:blip r:embed="rId12"/>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5"/>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6"/>
    <w:bookmarkStart w:id="19" w:name="book-01-prerequisites-and-toolchain"/>
    <w:p>
      <w:pPr>
        <w:pStyle w:val="Heading1"/>
      </w:pPr>
      <w:r>
        <w:t xml:space="preserve">2. Book 01 — Prerequisites and Toolchain</w:t>
      </w:r>
    </w:p>
    <w:bookmarkStart w:id="17"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17"/>
    <w:bookmarkStart w:id="18"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18"/>
    <w:bookmarkEnd w:id="19"/>
    <w:bookmarkStart w:id="28"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3" w:name="fig-imp02"/>
          <w:p>
            <w:pPr>
              <w:pStyle w:val="Compact"/>
              <w:jc w:val="center"/>
            </w:pPr>
            <w:r>
              <w:drawing>
                <wp:inline>
                  <wp:extent cx="5334000" cy="1784838"/>
                  <wp:effectExtent b="0" l="0" r="0" t="0"/>
                  <wp:docPr descr="" title="" id="21" name="Picture"/>
                  <a:graphic>
                    <a:graphicData uri="http://schemas.openxmlformats.org/drawingml/2006/picture">
                      <pic:pic>
                        <pic:nvPicPr>
                          <pic:cNvPr descr="figs/imp-fig-02-estate-discovery.png" id="22" name="Picture"/>
                          <pic:cNvPicPr>
                            <a:picLocks noChangeArrowheads="1" noChangeAspect="1"/>
                          </pic:cNvPicPr>
                        </pic:nvPicPr>
                        <pic:blipFill>
                          <a:blip r:embed="rId20"/>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3"/>
        </w:tc>
      </w:tr>
    </w:tbl>
    <w:bookmarkStart w:id="24"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4"/>
    <w:bookmarkStart w:id="25"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5"/>
    <w:bookmarkStart w:id="26"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6"/>
    <w:bookmarkStart w:id="27"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27"/>
    <w:bookmarkEnd w:id="28"/>
    <w:bookmarkStart w:id="37"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29"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29"/>
    <w:bookmarkStart w:id="30"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0"/>
    <w:bookmarkStart w:id="31"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1"/>
    <w:bookmarkStart w:id="36"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5" w:name="fig-imp03"/>
          <w:p>
            <w:pPr>
              <w:pStyle w:val="Compact"/>
              <w:jc w:val="center"/>
            </w:pPr>
            <w:r>
              <w:drawing>
                <wp:inline>
                  <wp:extent cx="5334000" cy="2282336"/>
                  <wp:effectExtent b="0" l="0" r="0" t="0"/>
                  <wp:docPr descr="" title="" id="33" name="Picture"/>
                  <a:graphic>
                    <a:graphicData uri="http://schemas.openxmlformats.org/drawingml/2006/picture">
                      <pic:pic>
                        <pic:nvPicPr>
                          <pic:cNvPr descr="figs/san-fig-03-ntlm-elimination.png" id="34" name="Picture"/>
                          <pic:cNvPicPr>
                            <a:picLocks noChangeArrowheads="1" noChangeAspect="1"/>
                          </pic:cNvPicPr>
                        </pic:nvPicPr>
                        <pic:blipFill>
                          <a:blip r:embed="rId32"/>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5"/>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6"/>
    <w:bookmarkEnd w:id="37"/>
    <w:bookmarkStart w:id="43" w:name="Xc19cf4ffc6dc31a3ba28be91757ab7498b90766"/>
    <w:p>
      <w:pPr>
        <w:pStyle w:val="Heading1"/>
      </w:pPr>
      <w:r>
        <w:t xml:space="preserve">5. Book 04 — Arc Deployment and Managed Identity</w:t>
      </w:r>
    </w:p>
    <w:bookmarkStart w:id="38"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38"/>
    <w:bookmarkStart w:id="39"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39"/>
    <w:bookmarkStart w:id="40"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0"/>
    <w:bookmarkStart w:id="41"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1"/>
    <w:bookmarkStart w:id="42"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2"/>
    <w:bookmarkEnd w:id="43"/>
    <w:bookmarkStart w:id="47"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4"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4"/>
    <w:bookmarkStart w:id="45"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5"/>
    <w:bookmarkStart w:id="46"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6"/>
    <w:bookmarkEnd w:id="47"/>
    <w:bookmarkStart w:id="51" w:name="book-06-ntlm-detection-and-remediation"/>
    <w:p>
      <w:pPr>
        <w:pStyle w:val="Heading1"/>
      </w:pPr>
      <w:r>
        <w:t xml:space="preserve">7. Book 06 — NTLM Detection and Remediation</w:t>
      </w:r>
    </w:p>
    <w:bookmarkStart w:id="48"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48"/>
    <w:bookmarkStart w:id="49"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49"/>
    <w:bookmarkStart w:id="50"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0"/>
    <w:bookmarkEnd w:id="51"/>
    <w:bookmarkStart w:id="55" w:name="X7a0a11100b1df5044591faf87cce25d4e6c2369"/>
    <w:p>
      <w:pPr>
        <w:pStyle w:val="Heading1"/>
      </w:pPr>
      <w:r>
        <w:t xml:space="preserve">8. Book 07 — Groups and Conditional Access Perimeter</w:t>
      </w:r>
    </w:p>
    <w:bookmarkStart w:id="52"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2"/>
    <w:bookmarkStart w:id="53"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3"/>
    <w:bookmarkStart w:id="54"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4"/>
    <w:bookmarkEnd w:id="55"/>
    <w:bookmarkStart w:id="59" w:name="X7047f8f783c79c482fa905e493f9e23efb95604"/>
    <w:p>
      <w:pPr>
        <w:pStyle w:val="Heading1"/>
      </w:pPr>
      <w:r>
        <w:t xml:space="preserve">9. Book 08 — Application Chain and Connection Strings</w:t>
      </w:r>
    </w:p>
    <w:bookmarkStart w:id="56"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6"/>
    <w:bookmarkStart w:id="57"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57"/>
    <w:bookmarkStart w:id="58"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58"/>
    <w:bookmarkEnd w:id="59"/>
    <w:bookmarkStart w:id="63"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0">
        <w:r>
          <w:rPr>
            <w:rStyle w:val="Hyperlink"/>
          </w:rPr>
          <w:t xml:space="preserve">Book 03</w:t>
        </w:r>
      </w:hyperlink>
      <w:r>
        <w:t xml:space="preserve">.</w:t>
      </w:r>
    </w:p>
    <w:bookmarkStart w:id="61"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1"/>
    <w:bookmarkStart w:id="62"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2"/>
    <w:bookmarkEnd w:id="63"/>
    <w:bookmarkStart w:id="67" w:name="X4c0e93523fa6f73f465bbd9f2d1d2a8974358ca"/>
    <w:p>
      <w:pPr>
        <w:pStyle w:val="Heading1"/>
      </w:pPr>
      <w:r>
        <w:t xml:space="preserve">11. Book 10 — Certificate Discovery and ADCS Dependencies</w:t>
      </w:r>
    </w:p>
    <w:bookmarkStart w:id="64"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4"/>
    <w:bookmarkStart w:id="65"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5"/>
    <w:bookmarkStart w:id="66"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6"/>
    <w:bookmarkEnd w:id="67"/>
    <w:bookmarkStart w:id="68"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60"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0"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2026-07-06T11:46:49Z</dcterms:created>
  <dcterms:modified xsi:type="dcterms:W3CDTF">2026-07-06T11:46:49Z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