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18 — Federal Application-Aware Networking — Part 18</w:t>
      </w:r>
    </w:p>
    <w:p>
      <w:pPr>
        <w:pStyle w:val="Subtitle"/>
      </w:pPr>
      <w:r>
        <w:t xml:space="preserve">Cybersecurity Awareness and Training Program: AT Family, LMS Evidence Integration, and KSI-CED-RAT Activation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that a cybersecurity training program be</w:t>
      </w:r>
      <w:r>
        <w:t xml:space="preserve"> </w:t>
      </w:r>
      <w:r>
        <w:t xml:space="preserve">continuously demonstrable — not as a policy assertion, but as a</w:t>
      </w:r>
      <w:r>
        <w:t xml:space="preserve"> </w:t>
      </w:r>
      <w:r>
        <w:t xml:space="preserve">machine-readable record of completion across four distinct training</w:t>
      </w:r>
      <w:r>
        <w:t xml:space="preserve"> </w:t>
      </w:r>
      <w:r>
        <w:t xml:space="preserve">dimensions. This is the last remaining KSI that the seventeen-book series</w:t>
      </w:r>
      <w:r>
        <w:t xml:space="preserve"> </w:t>
      </w:r>
      <w:r>
        <w:t xml:space="preserve">cannot close through network, identity, or security architecture artifacts</w:t>
      </w:r>
      <w:r>
        <w:t xml:space="preserve"> </w:t>
      </w:r>
      <w:r>
        <w:t xml:space="preserve">alone: training requires a human participation record.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Program Architecture</w:t>
      </w:r>
      <w:r>
        <w:t xml:space="preserve"> </w:t>
      </w:r>
      <w:r>
        <w:t xml:space="preserve">— the four-dimension model required by</w:t>
      </w:r>
      <w:r>
        <w:t xml:space="preserve"> </w:t>
      </w:r>
      <w:r>
        <w:t xml:space="preserve">KSI-CED-RAT, mapped to AT-2, AT-3, AT-4, CP-3, and IR-2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Security Awareness Training (AT-2)</w:t>
      </w:r>
      <w:r>
        <w:t xml:space="preserve"> </w:t>
      </w:r>
      <w:r>
        <w:t xml:space="preserve">— annual all-employee</w:t>
      </w:r>
      <w:r>
        <w:t xml:space="preserve"> </w:t>
      </w:r>
      <w:r>
        <w:t xml:space="preserve">program design, content requirements, and GCC Moderate delivery options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Role-Based Training Program (AT-3)</w:t>
      </w:r>
      <w:r>
        <w:t xml:space="preserve"> </w:t>
      </w:r>
      <w:r>
        <w:t xml:space="preserve">— training matrices for six</w:t>
      </w:r>
      <w:r>
        <w:t xml:space="preserve"> </w:t>
      </w:r>
      <w:r>
        <w:t xml:space="preserve">high-risk role categories: system administrators, developers/engineers,</w:t>
      </w:r>
      <w:r>
        <w:t xml:space="preserve"> </w:t>
      </w:r>
      <w:r>
        <w:t xml:space="preserve">privileged access users, incident responders, data stewards, and</w:t>
      </w:r>
      <w:r>
        <w:t xml:space="preserve"> </w:t>
      </w:r>
      <w:r>
        <w:t xml:space="preserve">executives/program managers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Records and LMS Integration (AT-4)</w:t>
      </w:r>
      <w:r>
        <w:t xml:space="preserve"> </w:t>
      </w:r>
      <w:r>
        <w:t xml:space="preserve">— machine-readable</w:t>
      </w:r>
      <w:r>
        <w:t xml:space="preserve"> </w:t>
      </w:r>
      <w:r>
        <w:t xml:space="preserve">completion record schema, Microsoft Viva Learning integration, and</w:t>
      </w:r>
      <w:r>
        <w:t xml:space="preserve"> </w:t>
      </w:r>
      <w:r>
        <w:t xml:space="preserve">export format for the UIAO governance substrate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Contingency Training (CP-3)</w:t>
      </w:r>
      <w:r>
        <w:t xml:space="preserve"> </w:t>
      </w:r>
      <w:r>
        <w:t xml:space="preserve">— tabletop exercise calendar and</w:t>
      </w:r>
      <w:r>
        <w:t xml:space="preserve"> </w:t>
      </w:r>
      <w:r>
        <w:t xml:space="preserve">attendance documentation linking to Part 14 DR runbooks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 Training (IR-2)</w:t>
      </w:r>
      <w:r>
        <w:t xml:space="preserve"> </w:t>
      </w:r>
      <w:r>
        <w:t xml:space="preserve">— drill cadence, scenario library,</w:t>
      </w:r>
      <w:r>
        <w:t xml:space="preserve"> </w:t>
      </w:r>
      <w:r>
        <w:t xml:space="preserve">and after-action documentation linking to Part 13 Sentinel playbooks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KSI-CED-RAT Activation</w:t>
      </w:r>
      <w:r>
        <w:t xml:space="preserve"> </w:t>
      </w:r>
      <w:r>
        <w:t xml:space="preserve">— evidence contract wiring for KSI-022,</w:t>
      </w:r>
      <w:r>
        <w:t xml:space="preserve"> </w:t>
      </w:r>
      <w:r>
        <w:t xml:space="preserve">completing all 29 CR26 KSIs to evaluable status</w:t>
      </w:r>
    </w:p>
    <w:p>
      <w:pPr>
        <w:pStyle w:val="FirstParagraph"/>
      </w:pPr>
      <w:r>
        <w:t xml:space="preserve">Together these artifacts close five NIST SP 800-53 Rev 5 controls across</w:t>
      </w:r>
      <w:r>
        <w:t xml:space="preserve"> </w:t>
      </w:r>
      <w:r>
        <w:t xml:space="preserve">the AT, CP, and IR families, activate the final scaffold KSI in the UIAO</w:t>
      </w:r>
      <w:r>
        <w:t xml:space="preserve"> </w:t>
      </w:r>
      <w:r>
        <w:t xml:space="preserve">ruleset, and produce the machine-readable training-effectiveness record</w:t>
      </w:r>
      <w:r>
        <w:t xml:space="preserve"> </w:t>
      </w:r>
      <w:r>
        <w:t xml:space="preserve">required for FedRAMP 20x continuous monitoring.</w:t>
      </w:r>
    </w:p>
    <w:p>
      <w:r>
        <w:pict>
          <v:rect style="width:0;height:1.5pt" o:hralign="center" o:hrstd="t" o:hr="t"/>
        </w:pict>
      </w:r>
    </w:p>
    <w:bookmarkEnd w:id="9"/>
    <w:bookmarkStart w:id="13" w:name="X225662609e730bef0f7f410a047a24f25cc1c08"/>
    <w:p>
      <w:pPr>
        <w:pStyle w:val="Heading1"/>
      </w:pPr>
      <w:r>
        <w:t xml:space="preserve">1. Cybersecurity Training in the FedRAMP 20x Context</w:t>
      </w:r>
    </w:p>
    <w:bookmarkStart w:id="10" w:name="Xa8f12a9ad2cc53cad5d035299ebf6be0774842e"/>
    <w:p>
      <w:pPr>
        <w:pStyle w:val="Heading2"/>
      </w:pPr>
      <w:r>
        <w:t xml:space="preserve">1.1 Why Training Cannot Be Closed by Architecture Alone</w:t>
      </w:r>
    </w:p>
    <w:p>
      <w:pPr>
        <w:pStyle w:val="FirstParagraph"/>
      </w:pPr>
      <w:r>
        <w:t xml:space="preserve">Every other control family in this series can be closed by infrastructure</w:t>
      </w:r>
      <w:r>
        <w:t xml:space="preserve"> </w:t>
      </w:r>
      <w:r>
        <w:t xml:space="preserve">configuration — a DNS resolver enforces SC-7, an Entra Conditional Access</w:t>
      </w:r>
      <w:r>
        <w:t xml:space="preserve"> </w:t>
      </w:r>
      <w:r>
        <w:t xml:space="preserve">policy enforces AC-3, a Sentinel rule satisfies AU-6. Training controls are</w:t>
      </w:r>
      <w:r>
        <w:t xml:space="preserve"> </w:t>
      </w:r>
      <w:r>
        <w:t xml:space="preserve">different. AT-2, AT-3, and AT-4 require human participation recorded in a</w:t>
      </w:r>
      <w:r>
        <w:t xml:space="preserve"> </w:t>
      </w:r>
      <w:r>
        <w:t xml:space="preserve">system that produces queryable completion evidence.</w:t>
      </w:r>
    </w:p>
    <w:p>
      <w:pPr>
        <w:pStyle w:val="BodyText"/>
      </w:pPr>
      <w:r>
        <w:t xml:space="preserve">FedRAMP 20x KSI-CED-RAT (</w:t>
      </w:r>
      <w:r>
        <w:t xml:space="preserve">“Reviewing All Training”</w:t>
      </w:r>
      <w:r>
        <w:t xml:space="preserve">) evaluates whether the</w:t>
      </w:r>
      <w:r>
        <w:t xml:space="preserve"> </w:t>
      </w:r>
      <w:r>
        <w:t xml:space="preserve">organization</w:t>
      </w:r>
      <w:r>
        <w:t xml:space="preserve"> </w:t>
      </w:r>
      <w:r>
        <w:rPr>
          <w:b/>
          <w:bCs/>
        </w:rPr>
        <w:t xml:space="preserve">persistently reviews</w:t>
      </w:r>
      <w:r>
        <w:t xml:space="preserve"> </w:t>
      </w:r>
      <w:r>
        <w:t xml:space="preserve">training effectiveness across four</w:t>
      </w:r>
      <w:r>
        <w:t xml:space="preserve"> </w:t>
      </w:r>
      <w:r>
        <w:t xml:space="preserve">dimensions. The word</w:t>
      </w:r>
      <w:r>
        <w:t xml:space="preserve"> </w:t>
      </w:r>
      <w:r>
        <w:t xml:space="preserve">“persistently”</w:t>
      </w:r>
      <w:r>
        <w:t xml:space="preserve"> </w:t>
      </w:r>
      <w:r>
        <w:t xml:space="preserve">is deliberate — a one-time training</w:t>
      </w:r>
      <w:r>
        <w:t xml:space="preserve"> </w:t>
      </w:r>
      <w:r>
        <w:t xml:space="preserve">event satisfies nothing. The KSI evaluates whether the organization</w:t>
      </w:r>
      <w:r>
        <w:t xml:space="preserve"> </w:t>
      </w:r>
      <w:r>
        <w:t xml:space="preserve">maintains a continuous, structured review of training coverage, and whether</w:t>
      </w:r>
      <w:r>
        <w:t xml:space="preserve"> </w:t>
      </w:r>
      <w:r>
        <w:t xml:space="preserve">that review is backed by evidence in machine-readable form.</w:t>
      </w:r>
    </w:p>
    <w:p>
      <w:pPr>
        <w:pStyle w:val="BodyText"/>
      </w:pPr>
      <w:r>
        <w:t xml:space="preserve">The four dimensions KSI-CED-RAT evaluates:</w:t>
      </w:r>
    </w:p>
    <w:p>
      <w:pPr>
        <w:pStyle w:val="TableCaption"/>
      </w:pPr>
      <w:r>
        <w:t xml:space="preserve">KSI-CED-RAT — Four Required Training Dimensions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ED-RAT — Four Required Training Dimensions"/>
      </w:tblPr>
      <w:tblGrid>
        <w:gridCol w:w="1742"/>
        <w:gridCol w:w="1584"/>
        <w:gridCol w:w="2217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  <w:tc>
          <w:tcPr/>
          <w:p>
            <w:pPr>
              <w:pStyle w:val="Compact"/>
            </w:pPr>
            <w: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LMS completion record — all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Role-specific</w:t>
            </w:r>
          </w:p>
        </w:tc>
        <w:tc>
          <w:tcPr/>
          <w:p>
            <w:pPr>
              <w:pStyle w:val="Compact"/>
            </w:pPr>
            <w:r>
              <w:t xml:space="preserve">High-risk roles</w:t>
            </w:r>
          </w:p>
        </w:tc>
        <w:tc>
          <w:tcPr/>
          <w:p>
            <w:pPr>
              <w:pStyle w:val="Compact"/>
            </w:pPr>
            <w: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LMS completion record — by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delivery</w:t>
            </w:r>
          </w:p>
        </w:tc>
        <w:tc>
          <w:tcPr/>
          <w:p>
            <w:pPr>
              <w:pStyle w:val="Compact"/>
            </w:pPr>
            <w:r>
              <w:t xml:space="preserve">Developers / engineers</w:t>
            </w:r>
          </w:p>
        </w:tc>
        <w:tc>
          <w:tcPr/>
          <w:p>
            <w:pPr>
              <w:pStyle w:val="Compact"/>
            </w:pPr>
            <w:r>
              <w:t xml:space="preserve">AT-3(3), SA-16</w:t>
            </w:r>
          </w:p>
        </w:tc>
        <w:tc>
          <w:tcPr/>
          <w:p>
            <w:pPr>
              <w:pStyle w:val="Compact"/>
            </w:pPr>
            <w:r>
              <w:t xml:space="preserve">Training certification or course transcript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IR/DR</w:t>
            </w:r>
          </w:p>
        </w:tc>
        <w:tc>
          <w:tcPr/>
          <w:p>
            <w:pPr>
              <w:pStyle w:val="Compact"/>
            </w:pPr>
            <w:r>
              <w:t xml:space="preserve">Incident response and recovery personnel</w:t>
            </w:r>
          </w:p>
        </w:tc>
        <w:tc>
          <w:tcPr/>
          <w:p>
            <w:pPr>
              <w:pStyle w:val="Compact"/>
            </w:pPr>
            <w:r>
              <w:t xml:space="preserve">IR-2, CP-3</w:t>
            </w:r>
          </w:p>
        </w:tc>
        <w:tc>
          <w:tcPr/>
          <w:p>
            <w:pPr>
              <w:pStyle w:val="Compact"/>
            </w:pPr>
            <w:r>
              <w:t xml:space="preserve">Tabletop attendance record + after-action report</w:t>
            </w:r>
          </w:p>
        </w:tc>
      </w:tr>
    </w:tbl>
    <w:bookmarkEnd w:id="10"/>
    <w:bookmarkStart w:id="11" w:name="the-relationship-to-parts-14-and-16"/>
    <w:p>
      <w:pPr>
        <w:pStyle w:val="Heading2"/>
      </w:pPr>
      <w:r>
        <w:t xml:space="preserve">1.2 The Relationship to Parts 14 and 16</w:t>
      </w:r>
    </w:p>
    <w:p>
      <w:pPr>
        <w:pStyle w:val="FirstParagraph"/>
      </w:pPr>
      <w:r>
        <w:t xml:space="preserve">Part 14 (Business Continuity) established the CP-2 Contingency Plan and</w:t>
      </w:r>
      <w:r>
        <w:t xml:space="preserve"> </w:t>
      </w:r>
      <w:r>
        <w:t xml:space="preserve">defined RTO/RPO/MTD targets. Part 16 (Program Management) established the</w:t>
      </w:r>
      <w:r>
        <w:t xml:space="preserve"> </w:t>
      </w:r>
      <w:r>
        <w:t xml:space="preserve">PM-14 Testing, Training, and Monitoring Plan that schedules tabletop</w:t>
      </w:r>
      <w:r>
        <w:t xml:space="preserve"> </w:t>
      </w:r>
      <w:r>
        <w:t xml:space="preserve">exercises on an annual cadence. This document provides the training content,</w:t>
      </w:r>
      <w:r>
        <w:t xml:space="preserve"> </w:t>
      </w:r>
      <w:r>
        <w:t xml:space="preserve">role matrices, and evidence record schema that those frameworks reference.</w:t>
      </w:r>
    </w:p>
    <w:p>
      <w:pPr>
        <w:pStyle w:val="BodyText"/>
      </w:pPr>
      <w:r>
        <w:t xml:space="preserve">The PM-14 T&amp;T&amp;M Plan names training as a required activity. Part 18</w:t>
      </w:r>
      <w:r>
        <w:t xml:space="preserve"> </w:t>
      </w:r>
      <w:r>
        <w:t xml:space="preserve">defines what that training contains, who must complete it, and how</w:t>
      </w:r>
      <w:r>
        <w:t xml:space="preserve"> </w:t>
      </w:r>
      <w:r>
        <w:t xml:space="preserve">completion is recorded in a form that the UIAO governance substrate can</w:t>
      </w:r>
      <w:r>
        <w:t xml:space="preserve"> </w:t>
      </w:r>
      <w:r>
        <w:t xml:space="preserve">ingest as a machine-readable KSI evidence signal.</w:t>
      </w:r>
    </w:p>
    <w:bookmarkEnd w:id="11"/>
    <w:bookmarkStart w:id="12" w:name="controls-closed-by-this-document"/>
    <w:p>
      <w:pPr>
        <w:pStyle w:val="Heading2"/>
      </w:pPr>
      <w:r>
        <w:t xml:space="preserve">1.3 Controls Closed by This Document</w:t>
      </w:r>
    </w:p>
    <w:p>
      <w:pPr>
        <w:pStyle w:val="TableCaption"/>
      </w:pPr>
      <w:r>
        <w:t xml:space="preserve">AT Family Control Closure — Book 18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 — Book 18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Literacy Training and Awareness</w:t>
            </w:r>
          </w:p>
        </w:tc>
        <w:tc>
          <w:tcPr/>
          <w:p>
            <w:pPr>
              <w:pStyle w:val="Compact"/>
            </w:pPr>
            <w:r>
              <w:t xml:space="preserve">Annual all-employee security awareness via Microsoft Viva Learning or equivalent; LMS completion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Phishing simulation exercises integrated into awareness program; simulation result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Insider threat module within annual awareness program; included in LMS completion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</w:t>
            </w:r>
          </w:p>
        </w:tc>
        <w:tc>
          <w:tcPr/>
          <w:p>
            <w:pPr>
              <w:pStyle w:val="Compact"/>
            </w:pPr>
            <w:r>
              <w:t xml:space="preserve">Role training matrix with six categories; role-specific LMS tracks with separate completion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labs and scenario exercises for sysadmins, developers, and IR personnel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Processing PII</w:t>
            </w:r>
          </w:p>
        </w:tc>
        <w:tc>
          <w:tcPr/>
          <w:p>
            <w:pPr>
              <w:pStyle w:val="Compact"/>
            </w:pPr>
            <w:r>
              <w:t xml:space="preserve">PII awareness module for data stewards, connecting to Part 17 PT family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LMS export in JSON/CSV format; monthly snapshot to UIAO governance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Contingency Training</w:t>
            </w:r>
          </w:p>
        </w:tc>
        <w:tc>
          <w:tcPr/>
          <w:p>
            <w:pPr>
              <w:pStyle w:val="Compact"/>
            </w:pPr>
            <w:r>
              <w:t xml:space="preserve">Annual tabletop exercise with attendance record; after-action report archived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Incident Response Training</w:t>
            </w:r>
          </w:p>
        </w:tc>
        <w:tc>
          <w:tcPr/>
          <w:p>
            <w:pPr>
              <w:pStyle w:val="Compact"/>
            </w:pPr>
            <w:r>
              <w:t xml:space="preserve">Semi-annual IR drill; scenario library maintained by SOC; connects to Part 13 Sentinel playbooks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AT family and KSI-CED.</w:t>
      </w:r>
      <w:r>
        <w:t xml:space="preserve"> </w:t>
      </w:r>
      <w:r>
        <w:t xml:space="preserve">These controls close through</w:t>
      </w:r>
      <w:r>
        <w:t xml:space="preserve"> </w:t>
      </w:r>
      <w:r>
        <w:t xml:space="preserve">training evidence — LMS completion records, drill attendance, and</w:t>
      </w:r>
      <w:r>
        <w:t xml:space="preserve"> </w:t>
      </w:r>
      <w:r>
        <w:t xml:space="preserve">after-action reports — not through the network substrate. What the substrate</w:t>
      </w:r>
      <w:r>
        <w:t xml:space="preserve"> </w:t>
      </w:r>
      <w:r>
        <w:t xml:space="preserve">supplies is the curriculum: the program trains personnel on the architecture</w:t>
      </w:r>
      <w:r>
        <w:t xml:space="preserve"> </w:t>
      </w:r>
      <w:r>
        <w:t xml:space="preserve">the rest of this series builds — the authoritative naming and addressing</w:t>
      </w:r>
      <w:r>
        <w:t xml:space="preserve"> </w:t>
      </w:r>
      <w:r>
        <w:t xml:space="preserve">plane (Book 01), device identity at the port (Book 02), and certificate- and</w:t>
      </w:r>
      <w:r>
        <w:t xml:space="preserve"> </w:t>
      </w:r>
      <w:r>
        <w:t xml:space="preserve">token-based cryptographic identity (Book 03) — so the people operating the</w:t>
      </w:r>
      <w:r>
        <w:t xml:space="preserve"> </w:t>
      </w:r>
      <w:r>
        <w:t xml:space="preserve">substrate understand why it is configured the way it is. A trained workforce</w:t>
      </w:r>
      <w:r>
        <w:t xml:space="preserve"> </w:t>
      </w:r>
      <w:r>
        <w:t xml:space="preserve">is the one closure mechanism no configuration setting can substitute for, and</w:t>
      </w:r>
      <w:r>
        <w:t xml:space="preserve"> </w:t>
      </w:r>
      <w:r>
        <w:t xml:space="preserve">the series’ necessity claims elsewhere stay credible precisely because it</w:t>
      </w:r>
      <w:r>
        <w:t xml:space="preserve"> </w:t>
      </w:r>
      <w:r>
        <w:t xml:space="preserve">does not pretend otherwise.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raining-program-architecture"/>
    <w:p>
      <w:pPr>
        <w:pStyle w:val="Heading1"/>
      </w:pPr>
      <w:r>
        <w:t xml:space="preserve">2. Training Program Architecture</w:t>
      </w:r>
    </w:p>
    <w:bookmarkStart w:id="17" w:name="the-four-dimension-model"/>
    <w:p>
      <w:pPr>
        <w:pStyle w:val="Heading2"/>
      </w:pPr>
      <w:r>
        <w:t xml:space="preserve">2.1 The Four-Dimension Model</w:t>
      </w:r>
    </w:p>
    <w:p>
      <w:pPr>
        <w:pStyle w:val="FirstParagraph"/>
      </w:pPr>
      <w:r>
        <w:t xml:space="preserve">The training program is organized around the four dimensions KSI-CED-RAT</w:t>
      </w:r>
      <w:r>
        <w:t xml:space="preserve"> </w:t>
      </w:r>
      <w:r>
        <w:t xml:space="preserve">requires the organization to persistently review. Each dimension has a</w:t>
      </w:r>
      <w:r>
        <w:t xml:space="preserve"> </w:t>
      </w:r>
      <w:r>
        <w:t xml:space="preserve">distinct audience, delivery mechanism, frequency, and evidence type.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Federal AAN Cybersecurity Training Program — KSI-CED-RAT Four-Dimension Model" title="" id="15" name="Picture"/>
            <a:graphic>
              <a:graphicData uri="http://schemas.openxmlformats.org/drawingml/2006/picture">
                <pic:pic>
                  <pic:nvPicPr>
                    <pic:cNvPr descr="figs/ced-fig-01-training-dimension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Federal AAN Cybersecurity Training Program — KSI-CED-RAT Four-Dimension Model</w:t>
      </w:r>
    </w:p>
    <w:bookmarkEnd w:id="17"/>
    <w:bookmarkStart w:id="18" w:name="program-governance"/>
    <w:p>
      <w:pPr>
        <w:pStyle w:val="Heading2"/>
      </w:pPr>
      <w:r>
        <w:t xml:space="preserve">2.2 Program Governance</w:t>
      </w:r>
    </w:p>
    <w:p>
      <w:pPr>
        <w:pStyle w:val="FirstParagraph"/>
      </w:pPr>
      <w:r>
        <w:t xml:space="preserve">The training program is governed by the following roles, which connect</w:t>
      </w:r>
      <w:r>
        <w:t xml:space="preserve"> </w:t>
      </w:r>
      <w:r>
        <w:t xml:space="preserve">directly to the RACI established in Part 16:</w:t>
      </w:r>
    </w:p>
    <w:p>
      <w:pPr>
        <w:pStyle w:val="TableCaption"/>
      </w:pPr>
      <w:r>
        <w:t xml:space="preserve">Training Program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ining Program RACI — Key Roles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Program owner; approves training content annually; signs off on AT-4 record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Escalation point for role-based training gaps; receives quarterly completion dashboards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Manages LMS enrollment, completion tracking, and export to UIAO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Owns IR drill calendar; authors scenario library; produces after-action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/ Program Manager</w:t>
            </w:r>
          </w:p>
        </w:tc>
        <w:tc>
          <w:tcPr/>
          <w:p>
            <w:pPr>
              <w:pStyle w:val="Compact"/>
            </w:pPr>
            <w:r>
              <w:t xml:space="preserve">Ensures contractor workforce completes applicable training tracks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 (all levels)</w:t>
            </w:r>
          </w:p>
        </w:tc>
        <w:tc>
          <w:tcPr/>
          <w:p>
            <w:pPr>
              <w:pStyle w:val="Compact"/>
            </w:pPr>
            <w:r>
              <w:t xml:space="preserve">Accountable for direct report completion within their organization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cefb118f81abab16ec75021820981ffc595a0dc"/>
    <w:p>
      <w:pPr>
        <w:pStyle w:val="Heading1"/>
      </w:pPr>
      <w:r>
        <w:t xml:space="preserve">3. Dimension 1 — General Security Awareness Training (AT-2)</w:t>
      </w:r>
    </w:p>
    <w:bookmarkStart w:id="20" w:name="program-design"/>
    <w:p>
      <w:pPr>
        <w:pStyle w:val="Heading2"/>
      </w:pPr>
      <w:r>
        <w:t xml:space="preserve">3.1 Program Design</w:t>
      </w:r>
    </w:p>
    <w:p>
      <w:pPr>
        <w:pStyle w:val="FirstParagraph"/>
      </w:pPr>
      <w:r>
        <w:t xml:space="preserve">AT-2 requires security awareness training for all users of organizational</w:t>
      </w:r>
      <w:r>
        <w:t xml:space="preserve"> </w:t>
      </w:r>
      <w:r>
        <w:t xml:space="preserve">systems, including contractors and privileged users, before they are granted</w:t>
      </w:r>
      <w:r>
        <w:t xml:space="preserve"> </w:t>
      </w:r>
      <w:r>
        <w:t xml:space="preserve">access and on a recurring basis thereafter. For FedRAMP 20x, the recurring</w:t>
      </w:r>
      <w:r>
        <w:t xml:space="preserve"> </w:t>
      </w:r>
      <w:r>
        <w:t xml:space="preserve">basis must produce a persistent completion record — annual is the standard</w:t>
      </w:r>
      <w:r>
        <w:t xml:space="preserve"> </w:t>
      </w:r>
      <w:r>
        <w:t xml:space="preserve">minimum; quarterly refreshers are best practice for GCC Moderate systems.</w:t>
      </w:r>
    </w:p>
    <w:p>
      <w:pPr>
        <w:pStyle w:val="BodyText"/>
      </w:pPr>
      <w:r>
        <w:t xml:space="preserve">The general awareness program covers:</w:t>
      </w:r>
    </w:p>
    <w:p>
      <w:pPr>
        <w:pStyle w:val="TableCaption"/>
      </w:pPr>
      <w:r>
        <w:t xml:space="preserve">AT-2 General Awareness — Required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General Awareness — Required Module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Regulatory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 Fundamentals</w:t>
            </w:r>
          </w:p>
        </w:tc>
        <w:tc>
          <w:tcPr/>
          <w:p>
            <w:pPr>
              <w:pStyle w:val="Compact"/>
            </w:pPr>
            <w:r>
              <w:t xml:space="preserve">Why implicit trust is gone; verify explicitly, least privilege, assume breach</w:t>
            </w:r>
          </w:p>
        </w:tc>
        <w:tc>
          <w:tcPr/>
          <w:p>
            <w:pPr>
              <w:pStyle w:val="Compact"/>
            </w:pPr>
            <w:r>
              <w:t xml:space="preserve">EO 14028, OMB M-22-09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Phishing and Social Engineering</w:t>
            </w:r>
          </w:p>
        </w:tc>
        <w:tc>
          <w:tcPr/>
          <w:p>
            <w:pPr>
              <w:pStyle w:val="Compact"/>
            </w:pPr>
            <w:r>
              <w:t xml:space="preserve">Recognition, reporting, GCC-tenant spoofing patterns</w:t>
            </w:r>
          </w:p>
        </w:tc>
        <w:tc>
          <w:tcPr/>
          <w:p>
            <w:pPr>
              <w:pStyle w:val="Compact"/>
            </w:pPr>
            <w:r>
              <w:t xml:space="preserve">AT-2, CISA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and MFA Hygiene</w:t>
            </w:r>
          </w:p>
        </w:tc>
        <w:tc>
          <w:tcPr/>
          <w:p>
            <w:pPr>
              <w:pStyle w:val="Compact"/>
            </w:pPr>
            <w:r>
              <w:t xml:space="preserve">Entra MFA, FIDO2 keys, authenticator apps; why SMS is deprecated</w:t>
            </w:r>
          </w:p>
        </w:tc>
        <w:tc>
          <w:tcPr/>
          <w:p>
            <w:pPr>
              <w:pStyle w:val="Compact"/>
            </w:pPr>
            <w:r>
              <w:t xml:space="preserve">IA-5, CISA MFA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Behavioral indicators, reporting obligations, DISA Insider Threat program</w:t>
            </w:r>
          </w:p>
        </w:tc>
        <w:tc>
          <w:tcPr/>
          <w:p>
            <w:pPr>
              <w:pStyle w:val="Compact"/>
            </w:pPr>
            <w:r>
              <w:t xml:space="preserve">AT-2(2), EO 13587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Classification and Handling</w:t>
            </w:r>
          </w:p>
        </w:tc>
        <w:tc>
          <w:tcPr/>
          <w:p>
            <w:pPr>
              <w:pStyle w:val="Compact"/>
            </w:pPr>
            <w:r>
              <w:t xml:space="preserve">CUI markings, GCC-only sharing, Purview sensitivity labels</w:t>
            </w:r>
          </w:p>
        </w:tc>
        <w:tc>
          <w:tcPr/>
          <w:p>
            <w:pPr>
              <w:pStyle w:val="Compact"/>
            </w:pPr>
            <w:r>
              <w:t xml:space="preserve">Part 12, CUI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How to report a suspected incident; SOC contact; IR playbook entry points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Acceptable Use and Legal</w:t>
            </w:r>
          </w:p>
        </w:tc>
        <w:tc>
          <w:tcPr/>
          <w:p>
            <w:pPr>
              <w:pStyle w:val="Compact"/>
            </w:pPr>
            <w:r>
              <w:t xml:space="preserve">System use notice acknowledgment; FISMA obligations; personal device policy</w:t>
            </w:r>
          </w:p>
        </w:tc>
        <w:tc>
          <w:tcPr/>
          <w:p>
            <w:pPr>
              <w:pStyle w:val="Compact"/>
            </w:pPr>
            <w:r>
              <w:t xml:space="preserve">PL-4, AC-8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Work Security</w:t>
            </w:r>
          </w:p>
        </w:tc>
        <w:tc>
          <w:tcPr/>
          <w:p>
            <w:pPr>
              <w:pStyle w:val="Compact"/>
            </w:pPr>
            <w:r>
              <w:t xml:space="preserve">VPN, ZTNA, home network risks, shoulder surfing</w:t>
            </w:r>
          </w:p>
        </w:tc>
        <w:tc>
          <w:tcPr/>
          <w:p>
            <w:pPr>
              <w:pStyle w:val="Compact"/>
            </w:pPr>
            <w:r>
              <w:t xml:space="preserve">AC-17, Part 6</w:t>
            </w:r>
          </w:p>
        </w:tc>
      </w:tr>
    </w:tbl>
    <w:bookmarkEnd w:id="20"/>
    <w:bookmarkStart w:id="21" w:name="delivery-options-for-gcc-moderate"/>
    <w:p>
      <w:pPr>
        <w:pStyle w:val="Heading2"/>
      </w:pPr>
      <w:r>
        <w:t xml:space="preserve">3.2 Delivery Options for GCC Moderate</w:t>
      </w:r>
    </w:p>
    <w:p>
      <w:pPr>
        <w:pStyle w:val="FirstParagraph"/>
      </w:pPr>
      <w:r>
        <w:t xml:space="preserve">Federal agencies operating in GCC Moderate have several compliant delivery</w:t>
      </w:r>
      <w:r>
        <w:t xml:space="preserve"> </w:t>
      </w:r>
      <w:r>
        <w:t xml:space="preserve">options for general awareness training:</w:t>
      </w:r>
    </w:p>
    <w:p>
      <w:pPr>
        <w:pStyle w:val="TableCaption"/>
      </w:pPr>
      <w:r>
        <w:t xml:space="preserve">AT-2 Delivery Platform Options — GCC Moderate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Delivery Platform Options — GCC Moderate"/>
      </w:tblPr>
      <w:tblGrid>
        <w:gridCol w:w="1584"/>
        <w:gridCol w:w="2692"/>
        <w:gridCol w:w="950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GCC Availability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Evidence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Viva Learning</w:t>
            </w:r>
          </w:p>
        </w:tc>
        <w:tc>
          <w:tcPr/>
          <w:p>
            <w:pPr>
              <w:pStyle w:val="Compact"/>
            </w:pPr>
            <w:r>
              <w:t xml:space="preserve">Native GCC / GCC High</w:t>
            </w:r>
          </w:p>
        </w:tc>
        <w:tc>
          <w:tcPr/>
          <w:p>
            <w:pPr>
              <w:pStyle w:val="Compact"/>
            </w:pPr>
            <w:r>
              <w:t xml:space="preserve">M365 E3/E5 included</w:t>
            </w:r>
          </w:p>
        </w:tc>
        <w:tc>
          <w:tcPr/>
          <w:p>
            <w:pPr>
              <w:pStyle w:val="Compact"/>
            </w:pPr>
            <w:r>
              <w:t xml:space="preserve">JSON via Graph API; exports to UIAO substrate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Free; DoD-approved; GCC accessible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ATCTS completion certificate (PDF/CSV export)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free.cisa.gov; public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Manual transcript; requires AT-4 manual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KnowBe4 / Proofpoint</w:t>
            </w:r>
          </w:p>
        </w:tc>
        <w:tc>
          <w:tcPr/>
          <w:p>
            <w:pPr>
              <w:pStyle w:val="Compact"/>
            </w:pPr>
            <w:r>
              <w:t xml:space="preserve">Commercial; GCC-compatible deployments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or CSV export; FedRAMP Moderate authorized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 Security Awareness</w:t>
            </w:r>
          </w:p>
        </w:tc>
        <w:tc>
          <w:tcPr/>
          <w:p>
            <w:pPr>
              <w:pStyle w:val="Compact"/>
            </w:pPr>
            <w:r>
              <w:t xml:space="preserve">Commercial; FedRAMP-authorized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export; direct UIAO substrate integration possible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Microsoft Viva Learning for organizations already on M365</w:t>
      </w:r>
      <w:r>
        <w:t xml:space="preserve"> </w:t>
      </w:r>
      <w:r>
        <w:t xml:space="preserve">E3/E5 GCC. The Microsoft Graph API provides a structured JSON export of</w:t>
      </w:r>
      <w:r>
        <w:t xml:space="preserve"> </w:t>
      </w:r>
      <w:r>
        <w:t xml:space="preserve">completion records that maps directly to the AT-4 evidence schema and can</w:t>
      </w:r>
      <w:r>
        <w:t xml:space="preserve"> </w:t>
      </w:r>
      <w:r>
        <w:t xml:space="preserve">be automated into the UIAO governance substrate on a monthly pull cadence.</w:t>
      </w:r>
    </w:p>
    <w:bookmarkEnd w:id="21"/>
    <w:bookmarkStart w:id="22" w:name="phishing-simulation-at-21"/>
    <w:p>
      <w:pPr>
        <w:pStyle w:val="Heading2"/>
      </w:pPr>
      <w:r>
        <w:t xml:space="preserve">3.3 Phishing Simulation (AT-2(1))</w:t>
      </w:r>
    </w:p>
    <w:p>
      <w:pPr>
        <w:pStyle w:val="FirstParagraph"/>
      </w:pPr>
      <w:r>
        <w:t xml:space="preserve">Practical exercises are required under AT-2(1). Phishing simulation is the</w:t>
      </w:r>
      <w:r>
        <w:t xml:space="preserve"> </w:t>
      </w:r>
      <w:r>
        <w:t xml:space="preserve">standard federal mechanism. The simulation program must:</w:t>
      </w:r>
    </w:p>
    <w:p>
      <w:pPr>
        <w:pStyle w:val="Compact"/>
        <w:numPr>
          <w:ilvl w:val="0"/>
          <w:numId w:val="1002"/>
        </w:numPr>
      </w:pPr>
      <w:r>
        <w:t xml:space="preserve">Run at minimum</w:t>
      </w:r>
      <w:r>
        <w:t xml:space="preserve"> </w:t>
      </w:r>
      <w:r>
        <w:rPr>
          <w:b/>
          <w:bCs/>
        </w:rPr>
        <w:t xml:space="preserve">quarterly</w:t>
      </w:r>
      <w:r>
        <w:t xml:space="preserve"> </w:t>
      </w:r>
      <w:r>
        <w:t xml:space="preserve">campaigns across the full user population</w:t>
      </w:r>
    </w:p>
    <w:p>
      <w:pPr>
        <w:pStyle w:val="Compact"/>
        <w:numPr>
          <w:ilvl w:val="0"/>
          <w:numId w:val="1002"/>
        </w:numPr>
      </w:pPr>
      <w:r>
        <w:t xml:space="preserve">Track click rate, report rate, and training completion for those who</w:t>
      </w:r>
      <w:r>
        <w:t xml:space="preserve"> </w:t>
      </w:r>
      <w:r>
        <w:t xml:space="preserve">click (remedial training trigger)</w:t>
      </w:r>
    </w:p>
    <w:p>
      <w:pPr>
        <w:pStyle w:val="Compact"/>
        <w:numPr>
          <w:ilvl w:val="0"/>
          <w:numId w:val="1002"/>
        </w:numPr>
      </w:pPr>
      <w:r>
        <w:t xml:space="preserve">Export results in a structured format tied to user identity (not just</w:t>
      </w:r>
      <w:r>
        <w:t xml:space="preserve"> </w:t>
      </w:r>
      <w:r>
        <w:t xml:space="preserve">aggregate statistics) for AT-4 purposes</w:t>
      </w:r>
    </w:p>
    <w:p>
      <w:pPr>
        <w:pStyle w:val="Compact"/>
        <w:numPr>
          <w:ilvl w:val="0"/>
          <w:numId w:val="1002"/>
        </w:numPr>
      </w:pPr>
      <w:r>
        <w:t xml:space="preserve">Scenarios must include GCC-tenant spoof patterns — attackers impersonating</w:t>
      </w:r>
      <w:r>
        <w:t xml:space="preserve"> </w:t>
      </w:r>
      <w:r>
        <w:rPr>
          <w:rStyle w:val="VerbatimChar"/>
        </w:rPr>
        <w:t xml:space="preserve">.mil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domains, or spoofing legitimate Microsoft 365 service</w:t>
      </w:r>
      <w:r>
        <w:t xml:space="preserve"> </w:t>
      </w:r>
      <w:r>
        <w:t xml:space="preserve">notifications</w:t>
      </w:r>
    </w:p>
    <w:p>
      <w:pPr>
        <w:pStyle w:val="FirstParagraph"/>
      </w:pPr>
      <w:r>
        <w:rPr>
          <w:b/>
          <w:bCs/>
        </w:rPr>
        <w:t xml:space="preserve">GCC Moderate options:</w:t>
      </w:r>
      <w:r>
        <w:t xml:space="preserve"> </w:t>
      </w:r>
      <w:r>
        <w:t xml:space="preserve">Microsoft Attack Simulator (Defender for Office</w:t>
      </w:r>
      <w:r>
        <w:t xml:space="preserve"> </w:t>
      </w:r>
      <w:r>
        <w:t xml:space="preserve">365 Plan 2, included in M365 E5 GCC) or KnowBe4 GCC-compatible deployment.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dimension-2-role-based-training-at-3"/>
    <w:p>
      <w:pPr>
        <w:pStyle w:val="Heading1"/>
      </w:pPr>
      <w:r>
        <w:t xml:space="preserve">4. Dimension 2 — Role-Based Training (AT-3)</w:t>
      </w:r>
    </w:p>
    <w:bookmarkStart w:id="24" w:name="role-classification-and-training-matrix"/>
    <w:p>
      <w:pPr>
        <w:pStyle w:val="Heading2"/>
      </w:pPr>
      <w:r>
        <w:t xml:space="preserve">4.1 Role Classification and Training Matrix</w:t>
      </w:r>
    </w:p>
    <w:p>
      <w:pPr>
        <w:pStyle w:val="FirstParagraph"/>
      </w:pPr>
      <w:r>
        <w:t xml:space="preserve">AT-3 requires specialized training for personnel with assigned security</w:t>
      </w:r>
      <w:r>
        <w:t xml:space="preserve"> </w:t>
      </w:r>
      <w:r>
        <w:t xml:space="preserve">responsibilities. For FedRAMP 20x, this means any role that has elevated</w:t>
      </w:r>
      <w:r>
        <w:t xml:space="preserve"> </w:t>
      </w:r>
      <w:r>
        <w:t xml:space="preserve">access, system administration duties, or security-relevant functions. The</w:t>
      </w:r>
      <w:r>
        <w:t xml:space="preserve"> </w:t>
      </w:r>
      <w:r>
        <w:t xml:space="preserve">following six role tiers cover the GCC Moderate environment:</w:t>
      </w:r>
    </w:p>
    <w:p>
      <w:pPr>
        <w:pStyle w:val="TableCaption"/>
      </w:pPr>
      <w:r>
        <w:t xml:space="preserve">AT-3 Role-Based Training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3 Role-Based Training Matrix"/>
      </w:tblPr>
      <w:tblGrid>
        <w:gridCol w:w="1361"/>
        <w:gridCol w:w="1237"/>
        <w:gridCol w:w="2598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Tier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Training Requirement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System Administrators</w:t>
            </w:r>
          </w:p>
        </w:tc>
        <w:tc>
          <w:tcPr/>
          <w:p>
            <w:pPr>
              <w:pStyle w:val="Compact"/>
            </w:pPr>
            <w:r>
              <w:t xml:space="preserve">Cloud admins, network engineers, InfoBlox admins, Entra Global Admins</w:t>
            </w:r>
          </w:p>
        </w:tc>
        <w:tc>
          <w:tcPr/>
          <w:p>
            <w:pPr>
              <w:pStyle w:val="Compact"/>
            </w:pPr>
            <w:r>
              <w:t xml:space="preserve">Azure Security fundamentals, Entra ID hardening, InfoBlox DDI security, Sentinel administration</w:t>
            </w:r>
          </w:p>
        </w:tc>
        <w:tc>
          <w:tcPr/>
          <w:p>
            <w:pPr>
              <w:pStyle w:val="Compact"/>
            </w:pPr>
            <w:r>
              <w:t xml:space="preserve">Annual + on new tool deployment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Privileged Access Users</w:t>
            </w:r>
          </w:p>
        </w:tc>
        <w:tc>
          <w:tcPr/>
          <w:p>
            <w:pPr>
              <w:pStyle w:val="Compact"/>
            </w:pPr>
            <w:r>
              <w:t xml:space="preserve">PAW users, JIT-eligible roles, CyberArk vault users</w:t>
            </w:r>
          </w:p>
        </w:tc>
        <w:tc>
          <w:tcPr/>
          <w:p>
            <w:pPr>
              <w:pStyle w:val="Compact"/>
            </w:pPr>
            <w:r>
              <w:t xml:space="preserve">PAW architecture, Entra PIM workflow, session recording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8–16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Developers / Engineers</w:t>
            </w:r>
          </w:p>
        </w:tc>
        <w:tc>
          <w:tcPr/>
          <w:p>
            <w:pPr>
              <w:pStyle w:val="Compact"/>
            </w:pPr>
            <w:r>
              <w:t xml:space="preserve">Application developers, DevSecOps engineers, pipeline owners</w:t>
            </w:r>
          </w:p>
        </w:tc>
        <w:tc>
          <w:tcPr/>
          <w:p>
            <w:pPr>
              <w:pStyle w:val="Compact"/>
            </w:pPr>
            <w:r>
              <w:t xml:space="preserve">Secure coding (OWASP Top 10), SBOM generation, dependency scanning, GitHub Actions security</w:t>
            </w:r>
          </w:p>
        </w:tc>
        <w:tc>
          <w:tcPr/>
          <w:p>
            <w:pPr>
              <w:pStyle w:val="Compact"/>
            </w:pPr>
            <w:r>
              <w:t xml:space="preserve">Annual + quarterly lab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Incident Responders</w:t>
            </w:r>
          </w:p>
        </w:tc>
        <w:tc>
          <w:tcPr/>
          <w:p>
            <w:pPr>
              <w:pStyle w:val="Compact"/>
            </w:pPr>
            <w:r>
              <w:t xml:space="preserve">SOC analysts, IR team members, Sentinel operators</w:t>
            </w:r>
          </w:p>
        </w:tc>
        <w:tc>
          <w:tcPr/>
          <w:p>
            <w:pPr>
              <w:pStyle w:val="Compact"/>
            </w:pPr>
            <w:r>
              <w:t xml:space="preserve">KQL query writing, Sentinel playbook operation, IR procedure walkthroughs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16–24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Data Stewards</w:t>
            </w:r>
          </w:p>
        </w:tc>
        <w:tc>
          <w:tcPr/>
          <w:p>
            <w:pPr>
              <w:pStyle w:val="Compact"/>
            </w:pPr>
            <w:r>
              <w:t xml:space="preserve">Records managers, HR system owners, PII processors</w:t>
            </w:r>
          </w:p>
        </w:tc>
        <w:tc>
          <w:tcPr/>
          <w:p>
            <w:pPr>
              <w:pStyle w:val="Compact"/>
            </w:pPr>
            <w:r>
              <w:t xml:space="preserve">CUI handling, Purview DLP policies, sensitivity label application, SORN obligations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8–12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6 — Executives / Program Managers</w:t>
            </w:r>
          </w:p>
        </w:tc>
        <w:tc>
          <w:tcPr/>
          <w:p>
            <w:pPr>
              <w:pStyle w:val="Compact"/>
            </w:pPr>
            <w:r>
              <w:t xml:space="preserve">AO, PM, ISSM, COR, Contracting Officer</w:t>
            </w:r>
          </w:p>
        </w:tc>
        <w:tc>
          <w:tcPr/>
          <w:p>
            <w:pPr>
              <w:pStyle w:val="Compact"/>
            </w:pPr>
            <w:r>
              <w:t xml:space="preserve">Risk posture briefing, FedRAMP 20x obligation overview, POA&amp;M review process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4–8 hrs</w:t>
            </w:r>
          </w:p>
        </w:tc>
      </w:tr>
    </w:tbl>
    <w:bookmarkEnd w:id="24"/>
    <w:bookmarkStart w:id="25" w:name="Xfd0b000aec447b86bfc3b1b5410e379cf51221b"/>
    <w:p>
      <w:pPr>
        <w:pStyle w:val="Heading2"/>
      </w:pPr>
      <w:r>
        <w:t xml:space="preserve">4.2 Tier 1 — System Administrator Training Curriculum</w:t>
      </w:r>
    </w:p>
    <w:p>
      <w:pPr>
        <w:pStyle w:val="FirstParagraph"/>
      </w:pPr>
      <w:r>
        <w:t xml:space="preserve">System administrators represent the highest-risk role category in a FedRAMP</w:t>
      </w:r>
      <w:r>
        <w:t xml:space="preserve"> </w:t>
      </w:r>
      <w:r>
        <w:t xml:space="preserve">Moderate environment. Their training curriculum must cover the specific</w:t>
      </w:r>
      <w:r>
        <w:t xml:space="preserve"> </w:t>
      </w:r>
      <w:r>
        <w:t xml:space="preserve">technologies deployed in this series:</w:t>
      </w:r>
    </w:p>
    <w:p>
      <w:pPr>
        <w:pStyle w:val="TableCaption"/>
      </w:pPr>
      <w:r>
        <w:t xml:space="preserve">Tier 1 Sysadmin Training — AAN-Aligned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1 Sysadmin Training — AAN-Aligned Curriculum"/>
      </w:tblPr>
      <w:tblGrid>
        <w:gridCol w:w="2941"/>
        <w:gridCol w:w="2036"/>
        <w:gridCol w:w="29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Area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Connects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 DDI Security</w:t>
            </w:r>
          </w:p>
        </w:tc>
        <w:tc>
          <w:tcPr/>
          <w:p>
            <w:pPr>
              <w:pStyle w:val="Compact"/>
            </w:pPr>
            <w:r>
              <w:t xml:space="preserve">DNSSEC key management, RPZ rule maintenance, IPAM audit log review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SD-WAN / SASE Administration</w:t>
            </w:r>
          </w:p>
        </w:tc>
        <w:tc>
          <w:tcPr/>
          <w:p>
            <w:pPr>
              <w:pStyle w:val="Compact"/>
            </w:pPr>
            <w:r>
              <w:t xml:space="preserve">IPsec key rotation, SASE policy updates, DIA circuit failover procedures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 ID and Conditional Access</w:t>
            </w:r>
          </w:p>
        </w:tc>
        <w:tc>
          <w:tcPr/>
          <w:p>
            <w:pPr>
              <w:pStyle w:val="Compact"/>
            </w:pPr>
            <w:r>
              <w:t xml:space="preserve">Conditional Access policy design, MFA enforcement exceptions, break-glass account procedures</w:t>
            </w:r>
          </w:p>
        </w:tc>
        <w:tc>
          <w:tcPr/>
          <w:p>
            <w:pPr>
              <w:pStyle w:val="Compact"/>
            </w:pPr>
            <w:r>
              <w:t xml:space="preserve">Part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Arc and SQL Security</w:t>
            </w:r>
          </w:p>
        </w:tc>
        <w:tc>
          <w:tcPr/>
          <w:p>
            <w:pPr>
              <w:pStyle w:val="Compact"/>
            </w:pPr>
            <w:r>
              <w:t xml:space="preserve">Managed Identity token lifecycle, Arc extension updates, SQL login audit review</w:t>
            </w:r>
          </w:p>
        </w:tc>
        <w:tc>
          <w:tcPr/>
          <w:p>
            <w:pPr>
              <w:pStyle w:val="Compact"/>
            </w:pPr>
            <w:r>
              <w:t xml:space="preserve">Parts 7–8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Sentinel Operations</w:t>
            </w:r>
          </w:p>
        </w:tc>
        <w:tc>
          <w:tcPr/>
          <w:p>
            <w:pPr>
              <w:pStyle w:val="Compact"/>
            </w:pPr>
            <w:r>
              <w:t xml:space="preserve">Connector health monitoring, analytics rule tuning, UEBA threshold calibration</w:t>
            </w:r>
          </w:p>
        </w:tc>
        <w:tc>
          <w:tcPr/>
          <w:p>
            <w:pPr>
              <w:pStyle w:val="Compact"/>
            </w:pPr>
            <w:r>
              <w:t xml:space="preserve">Part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Entra PIM role activation, PAW maintenance, JIT request approval</w:t>
            </w:r>
          </w:p>
        </w:tc>
        <w:tc>
          <w:tcPr/>
          <w:p>
            <w:pPr>
              <w:pStyle w:val="Compact"/>
            </w:pPr>
            <w:r>
              <w:t xml:space="preserve">Part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Defender MDVM dashboard interpretation, KEV remediation SLA tracking, WUfB ring management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and DR Operations</w:t>
            </w:r>
          </w:p>
        </w:tc>
        <w:tc>
          <w:tcPr/>
          <w:p>
            <w:pPr>
              <w:pStyle w:val="Compact"/>
            </w:pPr>
            <w:r>
              <w:t xml:space="preserve">Azure Site Recovery test procedures, SQL AG failover validation, RTO/RPO measurement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</w:tr>
    </w:tbl>
    <w:bookmarkEnd w:id="25"/>
    <w:bookmarkStart w:id="26" w:name="X8db4f3e18e66810e71ae122126bfbcfdbcd9583"/>
    <w:p>
      <w:pPr>
        <w:pStyle w:val="Heading2"/>
      </w:pPr>
      <w:r>
        <w:t xml:space="preserve">4.3 Tier 3 — Developer / Engineer Secure Delivery Training (AT-3(3), SA-16)</w:t>
      </w:r>
    </w:p>
    <w:p>
      <w:pPr>
        <w:pStyle w:val="FirstParagraph"/>
      </w:pPr>
      <w:r>
        <w:t xml:space="preserve">Developer training under AT-3 and SA-16 covers the secure delivery</w:t>
      </w:r>
      <w:r>
        <w:t xml:space="preserve"> </w:t>
      </w:r>
      <w:r>
        <w:t xml:space="preserve">practices established by the SBOM/VDR pipeline in Part 15:</w:t>
      </w:r>
    </w:p>
    <w:p>
      <w:pPr>
        <w:pStyle w:val="TableCaption"/>
      </w:pPr>
      <w:r>
        <w:t xml:space="preserve">Tier 3 Developer Secure Delivery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3 Developer Secure Delivery Curriculum"/>
      </w:tblPr>
      <w:tblGrid>
        <w:gridCol w:w="1584"/>
        <w:gridCol w:w="2036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Evidence Produced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Management</w:t>
            </w:r>
          </w:p>
        </w:tc>
        <w:tc>
          <w:tcPr/>
          <w:p>
            <w:pPr>
              <w:pStyle w:val="Compact"/>
            </w:pPr>
            <w:r>
              <w:t xml:space="preserve">Pinning dependencies, evaluating transitive dependencies, understanding VDR/VEX fields</w:t>
            </w:r>
          </w:p>
        </w:tc>
        <w:tc>
          <w:tcPr/>
          <w:p>
            <w:pPr>
              <w:pStyle w:val="Compact"/>
            </w:pPr>
            <w:r>
              <w:t xml:space="preserve">SBOM generation fluency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Generation (Syft)</w:t>
            </w:r>
          </w:p>
        </w:tc>
        <w:tc>
          <w:tcPr/>
          <w:p>
            <w:pPr>
              <w:pStyle w:val="Compact"/>
            </w:pPr>
            <w:r>
              <w:t xml:space="preserve">Running Syft against container images and repositories, CycloneDX format, attestation signing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 Triage (Grype)</w:t>
            </w:r>
          </w:p>
        </w:tc>
        <w:tc>
          <w:tcPr/>
          <w:p>
            <w:pPr>
              <w:pStyle w:val="Compact"/>
            </w:pPr>
            <w:r>
              <w:t xml:space="preserve">Interpreting Grype output, VEX exploitability assertions, BOD 26-04 D1–D5 SLA obligations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Security</w:t>
            </w:r>
          </w:p>
        </w:tc>
        <w:tc>
          <w:tcPr/>
          <w:p>
            <w:pPr>
              <w:pStyle w:val="Compact"/>
            </w:pPr>
            <w:r>
              <w:t xml:space="preserve">Secrets management, workflow permissions, OIDC token scoping, supply chain attack patterns</w:t>
            </w:r>
          </w:p>
        </w:tc>
        <w:tc>
          <w:tcPr/>
          <w:p>
            <w:pPr>
              <w:pStyle w:val="Compact"/>
            </w:pPr>
            <w:r>
              <w:t xml:space="preserve">Part 15 pipeline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Injection, broken access control, cryptographic failures, XSS patterns</w:t>
            </w:r>
          </w:p>
        </w:tc>
        <w:tc>
          <w:tcPr/>
          <w:p>
            <w:pPr>
              <w:pStyle w:val="Compact"/>
            </w:pPr>
            <w:r>
              <w:t xml:space="preserve">SA-11, SA-15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</w:t>
            </w:r>
          </w:p>
        </w:tc>
        <w:tc>
          <w:tcPr/>
          <w:p>
            <w:pPr>
              <w:pStyle w:val="Compact"/>
            </w:pPr>
            <w:r>
              <w:t xml:space="preserve">What to look for in pull request review, dependency diff review</w:t>
            </w:r>
          </w:p>
        </w:tc>
        <w:tc>
          <w:tcPr/>
          <w:p>
            <w:pPr>
              <w:pStyle w:val="Compact"/>
            </w:pPr>
            <w:r>
              <w:t xml:space="preserve">SA-11(1)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 from Dev</w:t>
            </w:r>
          </w:p>
        </w:tc>
        <w:tc>
          <w:tcPr/>
          <w:p>
            <w:pPr>
              <w:pStyle w:val="Compact"/>
            </w:pPr>
            <w:r>
              <w:t xml:space="preserve">How to report a suspected supply chain event; who to contact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</w:tbl>
    <w:bookmarkEnd w:id="26"/>
    <w:bookmarkStart w:id="27" w:name="tier-5-data-steward-training-at-35"/>
    <w:p>
      <w:pPr>
        <w:pStyle w:val="Heading2"/>
      </w:pPr>
      <w:r>
        <w:t xml:space="preserve">4.4 Tier 5 — Data Steward Training (AT-3(5))</w:t>
      </w:r>
    </w:p>
    <w:p>
      <w:pPr>
        <w:pStyle w:val="FirstParagraph"/>
      </w:pPr>
      <w:r>
        <w:t xml:space="preserve">AT-3(5) requires training for personnel who process personally identifiable</w:t>
      </w:r>
      <w:r>
        <w:t xml:space="preserve"> </w:t>
      </w:r>
      <w:r>
        <w:t xml:space="preserve">information. This connects to Part 17 (PII Processing and Transparency):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Purview sensitivity label application</w:t>
      </w:r>
      <w:r>
        <w:t xml:space="preserve"> </w:t>
      </w:r>
      <w:r>
        <w:t xml:space="preserve">— when to apply which label,</w:t>
      </w:r>
      <w:r>
        <w:t xml:space="preserve"> </w:t>
      </w:r>
      <w:r>
        <w:t xml:space="preserve">how auto-labeling works, and what happens when a document is shared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DLP policy understanding</w:t>
      </w:r>
      <w:r>
        <w:t xml:space="preserve"> </w:t>
      </w:r>
      <w:r>
        <w:t xml:space="preserve">— what the DLP policies in Part 12 block</w:t>
      </w:r>
      <w:r>
        <w:t xml:space="preserve"> </w:t>
      </w:r>
      <w:r>
        <w:t xml:space="preserve">and why, so data stewards don’t attempt workarounds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SORN and PIA obligations</w:t>
      </w:r>
      <w:r>
        <w:t xml:space="preserve"> </w:t>
      </w:r>
      <w:r>
        <w:t xml:space="preserve">— what triggers a Privacy Impact Assessment,</w:t>
      </w:r>
      <w:r>
        <w:t xml:space="preserve"> </w:t>
      </w:r>
      <w:r>
        <w:t xml:space="preserve">how to initiate one, and the role of the System of Records Notice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Breach notification procedure</w:t>
      </w:r>
      <w:r>
        <w:t xml:space="preserve"> </w:t>
      </w:r>
      <w:r>
        <w:t xml:space="preserve">— what constitutes a PII breach, the</w:t>
      </w:r>
      <w:r>
        <w:t xml:space="preserve"> </w:t>
      </w:r>
      <w:r>
        <w:t xml:space="preserve">72-hour reporting window, and the SOC notification path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dimension-3-secure-delivery-training"/>
    <w:p>
      <w:pPr>
        <w:pStyle w:val="Heading1"/>
      </w:pPr>
      <w:r>
        <w:t xml:space="preserve">5. Dimension 3 — Secure Delivery Training</w:t>
      </w:r>
    </w:p>
    <w:bookmarkStart w:id="29" w:name="X1c51bfe054b14667a58a313c7807b0592ee1b17"/>
    <w:p>
      <w:pPr>
        <w:pStyle w:val="Heading2"/>
      </w:pPr>
      <w:r>
        <w:t xml:space="preserve">5.1 Developer Security in the FedRAMP 20x Context</w:t>
      </w:r>
    </w:p>
    <w:p>
      <w:pPr>
        <w:pStyle w:val="FirstParagraph"/>
      </w:pPr>
      <w:r>
        <w:t xml:space="preserve">FedRAMP 20x KSI-PIY-RSD (</w:t>
      </w:r>
      <w:r>
        <w:t xml:space="preserve">“Reviewing Security in the SDLC”</w:t>
      </w:r>
      <w:r>
        <w:t xml:space="preserve">) — activated</w:t>
      </w:r>
      <w:r>
        <w:t xml:space="preserve"> </w:t>
      </w:r>
      <w:r>
        <w:t xml:space="preserve">by Part 15’s SBOM pipeline and Part 11’s Defender VM integration — requires</w:t>
      </w:r>
      <w:r>
        <w:t xml:space="preserve"> </w:t>
      </w:r>
      <w:r>
        <w:t xml:space="preserve">that security is reviewed throughout the software delivery process. Training</w:t>
      </w:r>
      <w:r>
        <w:t xml:space="preserve"> </w:t>
      </w:r>
      <w:r>
        <w:t xml:space="preserve">is the human layer of that review: developers who understand what Syft</w:t>
      </w:r>
      <w:r>
        <w:t xml:space="preserve"> </w:t>
      </w:r>
      <w:r>
        <w:t xml:space="preserve">produces, what Grype flags, and what a VEX assertion means will engage with</w:t>
      </w:r>
      <w:r>
        <w:t xml:space="preserve"> </w:t>
      </w:r>
      <w:r>
        <w:t xml:space="preserve">the automated pipeline as partners rather than treating it as a compliance</w:t>
      </w:r>
      <w:r>
        <w:t xml:space="preserve"> </w:t>
      </w:r>
      <w:r>
        <w:t xml:space="preserve">hurdle.</w:t>
      </w:r>
    </w:p>
    <w:p>
      <w:pPr>
        <w:pStyle w:val="BodyText"/>
      </w:pPr>
      <w:r>
        <w:t xml:space="preserve">The secure delivery training program connects KSI-PIY-RSD evidence</w:t>
      </w:r>
      <w:r>
        <w:t xml:space="preserve"> </w:t>
      </w:r>
      <w:r>
        <w:t xml:space="preserve">(Part 15) with the human competency layer (this document). Together they</w:t>
      </w:r>
      <w:r>
        <w:t xml:space="preserve"> </w:t>
      </w:r>
      <w:r>
        <w:t xml:space="preserve">satisfy the full CR26 intent: automated scanning provides the</w:t>
      </w:r>
      <w:r>
        <w:t xml:space="preserve"> </w:t>
      </w:r>
      <w:r>
        <w:t xml:space="preserve">machine-readable signal; trained developers make the triage decisions that</w:t>
      </w:r>
      <w:r>
        <w:t xml:space="preserve"> </w:t>
      </w:r>
      <w:r>
        <w:t xml:space="preserve">determine whether findings are remediated or suppressed with a justified</w:t>
      </w:r>
      <w:r>
        <w:t xml:space="preserve"> </w:t>
      </w:r>
      <w:r>
        <w:t xml:space="preserve">exploitability assertion.</w:t>
      </w:r>
    </w:p>
    <w:bookmarkEnd w:id="29"/>
    <w:bookmarkStart w:id="30" w:name="training-delivery-for-developers"/>
    <w:p>
      <w:pPr>
        <w:pStyle w:val="Heading2"/>
      </w:pPr>
      <w:r>
        <w:t xml:space="preserve">5.2 Training Delivery for Developers</w:t>
      </w:r>
    </w:p>
    <w:p>
      <w:pPr>
        <w:pStyle w:val="FirstParagraph"/>
      </w:pPr>
      <w:r>
        <w:t xml:space="preserve">Developer training must be practical, not lecture-based. Effective formats:</w:t>
      </w:r>
    </w:p>
    <w:p>
      <w:pPr>
        <w:pStyle w:val="TableCaption"/>
      </w:pPr>
      <w:r>
        <w:t xml:space="preserve">Secure Delivery Training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re Delivery Training Format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Minimum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Hands-on SBOM lab</w:t>
            </w:r>
          </w:p>
        </w:tc>
        <w:tc>
          <w:tcPr/>
          <w:p>
            <w:pPr>
              <w:pStyle w:val="Compact"/>
            </w:pPr>
            <w:r>
              <w:t xml:space="preserve">Generate a CycloneDX SBOM from a real repository; inspect the output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Grype triage exercise</w:t>
            </w:r>
          </w:p>
        </w:tc>
        <w:tc>
          <w:tcPr/>
          <w:p>
            <w:pPr>
              <w:pStyle w:val="Compact"/>
            </w:pPr>
            <w:r>
              <w:t xml:space="preserve">Given a Grype scan result, classify findings and write VEX assertions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 session</w:t>
            </w:r>
          </w:p>
        </w:tc>
        <w:tc>
          <w:tcPr/>
          <w:p>
            <w:pPr>
              <w:pStyle w:val="Compact"/>
            </w:pPr>
            <w:r>
              <w:t xml:space="preserve">Pair review of a deliberately vulnerable PR; identify and remediate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scenario tabletop</w:t>
            </w:r>
          </w:p>
        </w:tc>
        <w:tc>
          <w:tcPr/>
          <w:p>
            <w:pPr>
              <w:pStyle w:val="Compact"/>
            </w:pPr>
            <w:r>
              <w:t xml:space="preserve">What do we do if a critical dependency is compromised?</w:t>
            </w:r>
          </w:p>
        </w:tc>
        <w:tc>
          <w:tcPr/>
          <w:p>
            <w:pPr>
              <w:pStyle w:val="Compact"/>
            </w:pPr>
            <w:r>
              <w:t xml:space="preserve">Annual with IR tabletop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CTF / security challenge</w:t>
            </w:r>
          </w:p>
        </w:tc>
        <w:tc>
          <w:tcPr/>
          <w:p>
            <w:pPr>
              <w:pStyle w:val="Compact"/>
            </w:pPr>
            <w:r>
              <w:t xml:space="preserve">Team-based challenge covering OWASP Top 10 patterns</w:t>
            </w:r>
          </w:p>
        </w:tc>
        <w:tc>
          <w:tcPr/>
          <w:p>
            <w:pPr>
              <w:pStyle w:val="Compact"/>
            </w:pPr>
            <w:r>
              <w:t xml:space="preserve">Annual (optional but high-value)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Xb499a88f9af76ab0e96ffbb4c6bf6f3548f3a95"/>
    <w:p>
      <w:pPr>
        <w:pStyle w:val="Heading1"/>
      </w:pPr>
      <w:r>
        <w:t xml:space="preserve">6. Dimension 4 — Incident Response and DR Training (IR-2, CP-3)</w:t>
      </w:r>
    </w:p>
    <w:bookmarkStart w:id="34" w:name="incident-response-training-ir-2"/>
    <w:p>
      <w:pPr>
        <w:pStyle w:val="Heading2"/>
      </w:pPr>
      <w:r>
        <w:t xml:space="preserve">6.1 Incident Response Training (IR-2)</w:t>
      </w:r>
    </w:p>
    <w:p>
      <w:pPr>
        <w:pStyle w:val="FirstParagraph"/>
      </w:pPr>
      <w:r>
        <w:t xml:space="preserve">IR-2 requires that personnel with incident response responsibilities</w:t>
      </w:r>
      <w:r>
        <w:t xml:space="preserve"> </w:t>
      </w:r>
      <w:r>
        <w:t xml:space="preserve">receive training on their specific roles in the IR plan. This training</w:t>
      </w:r>
      <w:r>
        <w:t xml:space="preserve"> </w:t>
      </w:r>
      <w:r>
        <w:t xml:space="preserve">connects directly to Part 13 (SIEM/XDR Detection Engineering) — the</w:t>
      </w:r>
      <w:r>
        <w:t xml:space="preserve"> </w:t>
      </w:r>
      <w:r>
        <w:t xml:space="preserve">Sentinel playbooks defined there are the operational tools; this training</w:t>
      </w:r>
      <w:r>
        <w:t xml:space="preserve"> </w:t>
      </w:r>
      <w:r>
        <w:t xml:space="preserve">is what ensures personnel can operate them under pressure.</w:t>
      </w:r>
    </w:p>
    <w:bookmarkStart w:id="32" w:name="ir-training-cadence"/>
    <w:p>
      <w:pPr>
        <w:pStyle w:val="Heading3"/>
      </w:pPr>
      <w:r>
        <w:t xml:space="preserve">6.1.1 IR Training Cadence</w:t>
      </w:r>
    </w:p>
    <w:p>
      <w:pPr>
        <w:pStyle w:val="TableCaption"/>
      </w:pPr>
      <w:r>
        <w:t xml:space="preserve">IR-2 Training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R-2 Training Cadence"/>
      </w:tblPr>
      <w:tblGrid>
        <w:gridCol w:w="1205"/>
        <w:gridCol w:w="1893"/>
        <w:gridCol w:w="2238"/>
        <w:gridCol w:w="2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 procedure walkthrough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Full SOC + IR team</w:t>
            </w:r>
          </w:p>
        </w:tc>
        <w:tc>
          <w:tcPr/>
          <w:p>
            <w:pPr>
              <w:pStyle w:val="Compact"/>
            </w:pPr>
            <w:r>
              <w:t xml:space="preserve">Attendance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Sentinel playbook drill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SOC analysts</w:t>
            </w:r>
          </w:p>
        </w:tc>
        <w:tc>
          <w:tcPr/>
          <w:p>
            <w:pPr>
              <w:pStyle w:val="Compact"/>
            </w:pPr>
            <w:r>
              <w:t xml:space="preserve">Drill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ransomware scenario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team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supply chain incident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+ development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simulation (red/blue)</w:t>
            </w:r>
          </w:p>
        </w:tc>
        <w:tc>
          <w:tcPr/>
          <w:p>
            <w:pPr>
              <w:pStyle w:val="Compact"/>
            </w:pPr>
            <w:r>
              <w:t xml:space="preserve">Annual (recommended)</w:t>
            </w:r>
          </w:p>
        </w:tc>
        <w:tc>
          <w:tcPr/>
          <w:p>
            <w:pPr>
              <w:pStyle w:val="Compact"/>
            </w:pPr>
            <w:r>
              <w:t xml:space="preserve">SOC + sysadmins</w:t>
            </w:r>
          </w:p>
        </w:tc>
        <w:tc>
          <w:tcPr/>
          <w:p>
            <w:pPr>
              <w:pStyle w:val="Compact"/>
            </w:pPr>
            <w:r>
              <w:t xml:space="preserve">Exercise report</w:t>
            </w:r>
          </w:p>
        </w:tc>
      </w:tr>
    </w:tbl>
    <w:bookmarkEnd w:id="32"/>
    <w:bookmarkStart w:id="33" w:name="ir-scenario-library"/>
    <w:p>
      <w:pPr>
        <w:pStyle w:val="Heading3"/>
      </w:pPr>
      <w:r>
        <w:t xml:space="preserve">6.1.2 IR Scenario Library</w:t>
      </w:r>
    </w:p>
    <w:p>
      <w:pPr>
        <w:pStyle w:val="FirstParagraph"/>
      </w:pPr>
      <w:r>
        <w:t xml:space="preserve">The SOC maintains a scenario library that is updated after each real incident</w:t>
      </w:r>
      <w:r>
        <w:t xml:space="preserve"> </w:t>
      </w:r>
      <w:r>
        <w:t xml:space="preserve">and after each after-action review. Minimum scenarios for GCC Moderate: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Phishing → credential theft → lateral movement</w:t>
      </w:r>
      <w:r>
        <w:t xml:space="preserve"> </w:t>
      </w:r>
      <w:r>
        <w:t xml:space="preserve">— the most common</w:t>
      </w:r>
      <w:r>
        <w:t xml:space="preserve"> </w:t>
      </w:r>
      <w:r>
        <w:t xml:space="preserve">federal attack pattern; covers how Sentinel UEBA detects the anomaly and</w:t>
      </w:r>
      <w:r>
        <w:t xml:space="preserve"> </w:t>
      </w:r>
      <w:r>
        <w:t xml:space="preserve">which Logic App playbook fires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Supply chain dependency compromise</w:t>
      </w:r>
      <w:r>
        <w:t xml:space="preserve"> </w:t>
      </w:r>
      <w:r>
        <w:t xml:space="preserve">— a critical npm/NuGet/PyPI package</w:t>
      </w:r>
      <w:r>
        <w:t xml:space="preserve"> </w:t>
      </w:r>
      <w:r>
        <w:t xml:space="preserve">is found malicious after deployment; what is the response chain from Grype</w:t>
      </w:r>
      <w:r>
        <w:t xml:space="preserve"> </w:t>
      </w:r>
      <w:r>
        <w:t xml:space="preserve">alert to containment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Entra Conditional Access misconfiguration</w:t>
      </w:r>
      <w:r>
        <w:t xml:space="preserve"> </w:t>
      </w:r>
      <w:r>
        <w:t xml:space="preserve">— a policy change exposes</w:t>
      </w:r>
      <w:r>
        <w:t xml:space="preserve"> </w:t>
      </w:r>
      <w:r>
        <w:t xml:space="preserve">a gap; how is it detected in Sentinel and how is the access revoked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RPZ bypass attempt</w:t>
      </w:r>
      <w:r>
        <w:t xml:space="preserve"> </w:t>
      </w:r>
      <w:r>
        <w:t xml:space="preserve">— DNS exfiltration pattern not covered by</w:t>
      </w:r>
      <w:r>
        <w:t xml:space="preserve"> </w:t>
      </w:r>
      <w:r>
        <w:t xml:space="preserve">current RPZ rules; detection via Sentinel CEF connector and response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Ransomware encryption event</w:t>
      </w:r>
      <w:r>
        <w:t xml:space="preserve"> </w:t>
      </w:r>
      <w:r>
        <w:t xml:space="preserve">— endpoint detection via Defender MDE,</w:t>
      </w:r>
      <w:r>
        <w:t xml:space="preserve"> </w:t>
      </w:r>
      <w:r>
        <w:t xml:space="preserve">containment via Intune device action, recovery via Azure Site Recovery</w:t>
      </w:r>
      <w:r>
        <w:t xml:space="preserve"> </w:t>
      </w:r>
      <w:r>
        <w:t xml:space="preserve">failover to DR replica (Part 14 procedure)</w:t>
      </w:r>
    </w:p>
    <w:bookmarkEnd w:id="33"/>
    <w:bookmarkEnd w:id="34"/>
    <w:bookmarkStart w:id="37" w:name="contingency-training-cp-3"/>
    <w:p>
      <w:pPr>
        <w:pStyle w:val="Heading2"/>
      </w:pPr>
      <w:r>
        <w:t xml:space="preserve">6.2 Contingency Training (CP-3)</w:t>
      </w:r>
    </w:p>
    <w:p>
      <w:pPr>
        <w:pStyle w:val="FirstParagraph"/>
      </w:pPr>
      <w:r>
        <w:t xml:space="preserve">CP-3 requires that contingency plan personnel are trained on their specific</w:t>
      </w:r>
      <w:r>
        <w:t xml:space="preserve"> </w:t>
      </w:r>
      <w:r>
        <w:t xml:space="preserve">roles and responsibilities. Part 14 established the Contingency Plan,</w:t>
      </w:r>
      <w:r>
        <w:t xml:space="preserve"> </w:t>
      </w:r>
      <w:r>
        <w:t xml:space="preserve">RTO/RPO/MTD targets, and DR runbooks. This training ensures the people</w:t>
      </w:r>
      <w:r>
        <w:t xml:space="preserve"> </w:t>
      </w:r>
      <w:r>
        <w:t xml:space="preserve">named in those runbooks can execute them.</w:t>
      </w:r>
    </w:p>
    <w:bookmarkStart w:id="35" w:name="cp-3-tabletop-exercise-calendar"/>
    <w:p>
      <w:pPr>
        <w:pStyle w:val="Heading3"/>
      </w:pPr>
      <w:r>
        <w:t xml:space="preserve">6.2.1 CP-3 Tabletop Exercise Calendar</w:t>
      </w:r>
    </w:p>
    <w:p>
      <w:pPr>
        <w:pStyle w:val="FirstParagraph"/>
      </w:pPr>
      <w:r>
        <w:t xml:space="preserve">The annual tabletop exercise directly tests the CP-2 Contingency Plan</w:t>
      </w:r>
      <w:r>
        <w:t xml:space="preserve"> </w:t>
      </w:r>
      <w:r>
        <w:t xml:space="preserve">established in Part 14:</w:t>
      </w:r>
    </w:p>
    <w:p>
      <w:pPr>
        <w:pStyle w:val="TableCaption"/>
      </w:pPr>
      <w:r>
        <w:t xml:space="preserve">CP-3 Annual Tabletop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nual Tabletop Calendar"/>
      </w:tblPr>
      <w:tblGrid>
        <w:gridCol w:w="1549"/>
        <w:gridCol w:w="2754"/>
        <w:gridCol w:w="2238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Exercise Focus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SQL AG failover to DR replica</w:t>
            </w:r>
          </w:p>
        </w:tc>
        <w:tc>
          <w:tcPr/>
          <w:p>
            <w:pPr>
              <w:pStyle w:val="Compact"/>
            </w:pPr>
            <w:r>
              <w:t xml:space="preserve">DBAs, sysadmins, SOC</w:t>
            </w:r>
          </w:p>
        </w:tc>
        <w:tc>
          <w:tcPr/>
          <w:p>
            <w:pPr>
              <w:pStyle w:val="Compact"/>
            </w:pPr>
            <w:r>
              <w:t xml:space="preserve">Failover time measurement vs. RTO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InfoBlox Grid Manager failover</w:t>
            </w:r>
          </w:p>
        </w:tc>
        <w:tc>
          <w:tcPr/>
          <w:p>
            <w:pPr>
              <w:pStyle w:val="Compact"/>
            </w:pPr>
            <w:r>
              <w:t xml:space="preserve">Network engineers, DNS admins</w:t>
            </w:r>
          </w:p>
        </w:tc>
        <w:tc>
          <w:tcPr/>
          <w:p>
            <w:pPr>
              <w:pStyle w:val="Compact"/>
            </w:pPr>
            <w:r>
              <w:t xml:space="preserve">Recovery time vs. RTO; RPZ rule restoration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Full CP-2 tabletop — multi-system outage</w:t>
            </w:r>
          </w:p>
        </w:tc>
        <w:tc>
          <w:tcPr/>
          <w:p>
            <w:pPr>
              <w:pStyle w:val="Compact"/>
            </w:pPr>
            <w:r>
              <w:t xml:space="preserve">All DR-designated personnel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report; plan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Entra ID + Azure AD DS recovery scenario</w:t>
            </w:r>
          </w:p>
        </w:tc>
        <w:tc>
          <w:tcPr/>
          <w:p>
            <w:pPr>
              <w:pStyle w:val="Compact"/>
            </w:pPr>
            <w:r>
              <w:t xml:space="preserve">Identity admins, sysadmins</w:t>
            </w:r>
          </w:p>
        </w:tc>
        <w:tc>
          <w:tcPr/>
          <w:p>
            <w:pPr>
              <w:pStyle w:val="Compact"/>
            </w:pPr>
            <w:r>
              <w:t xml:space="preserve">Token reissuance time; break-glass procedure validation</w:t>
            </w:r>
          </w:p>
        </w:tc>
      </w:tr>
    </w:tbl>
    <w:bookmarkEnd w:id="35"/>
    <w:bookmarkStart w:id="36" w:name="after-action-report-requirements"/>
    <w:p>
      <w:pPr>
        <w:pStyle w:val="Heading3"/>
      </w:pPr>
      <w:r>
        <w:t xml:space="preserve">6.2.2 After-Action Report Requirements</w:t>
      </w:r>
    </w:p>
    <w:p>
      <w:pPr>
        <w:pStyle w:val="FirstParagraph"/>
      </w:pPr>
      <w:r>
        <w:t xml:space="preserve">Every tabletop produces an after-action report that:</w:t>
      </w:r>
    </w:p>
    <w:p>
      <w:pPr>
        <w:pStyle w:val="Compact"/>
        <w:numPr>
          <w:ilvl w:val="0"/>
          <w:numId w:val="1005"/>
        </w:numPr>
      </w:pPr>
      <w:r>
        <w:t xml:space="preserve">Documents attendance (names, roles, date) — this is the CP-3 evidence record</w:t>
      </w:r>
    </w:p>
    <w:p>
      <w:pPr>
        <w:pStyle w:val="Compact"/>
        <w:numPr>
          <w:ilvl w:val="0"/>
          <w:numId w:val="1005"/>
        </w:numPr>
      </w:pPr>
      <w:r>
        <w:t xml:space="preserve">Records the scenario, injects, and timeline</w:t>
      </w:r>
    </w:p>
    <w:p>
      <w:pPr>
        <w:pStyle w:val="Compact"/>
        <w:numPr>
          <w:ilvl w:val="0"/>
          <w:numId w:val="1005"/>
        </w:numPr>
      </w:pPr>
      <w:r>
        <w:t xml:space="preserve">Identifies gaps found versus the CP-2 plan</w:t>
      </w:r>
    </w:p>
    <w:p>
      <w:pPr>
        <w:pStyle w:val="Compact"/>
        <w:numPr>
          <w:ilvl w:val="0"/>
          <w:numId w:val="1005"/>
        </w:numPr>
      </w:pPr>
      <w:r>
        <w:t xml:space="preserve">Assigns corrective actions with owners and due dates</w:t>
      </w:r>
    </w:p>
    <w:p>
      <w:pPr>
        <w:pStyle w:val="Compact"/>
        <w:numPr>
          <w:ilvl w:val="0"/>
          <w:numId w:val="1005"/>
        </w:numPr>
      </w:pPr>
      <w:r>
        <w:t xml:space="preserve">Is reviewed by the ISSO and archived in the governance record system</w:t>
      </w:r>
    </w:p>
    <w:p>
      <w:pPr>
        <w:pStyle w:val="FirstParagraph"/>
      </w:pPr>
      <w:r>
        <w:t xml:space="preserve">The after-action report feeds two things: the PM-14 T&amp;T&amp;M tracker</w:t>
      </w:r>
      <w:r>
        <w:t xml:space="preserve"> </w:t>
      </w:r>
      <w:r>
        <w:t xml:space="preserve">(Part 16) and the CP-3 evidence record that the UIAO substrate ingests.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7" w:name="X5d2cfcf0b4e9a84389fb9586b6280caef5882bd"/>
    <w:p>
      <w:pPr>
        <w:pStyle w:val="Heading1"/>
      </w:pPr>
      <w:r>
        <w:t xml:space="preserve">7. Training Records and LMS Integration (AT-4)</w:t>
      </w:r>
    </w:p>
    <w:bookmarkStart w:id="39" w:name="X695eb96f7b67776b17ba54fe81d0539a7b1317b"/>
    <w:p>
      <w:pPr>
        <w:pStyle w:val="Heading2"/>
      </w:pPr>
      <w:r>
        <w:t xml:space="preserve">7.1 The Machine-Readable Evidence Requirement</w:t>
      </w:r>
    </w:p>
    <w:p>
      <w:pPr>
        <w:pStyle w:val="FirstParagraph"/>
      </w:pPr>
      <w:r>
        <w:t xml:space="preserve">AT-4 requires the organization to retain individual training records and</w:t>
      </w:r>
      <w:r>
        <w:t xml:space="preserve"> </w:t>
      </w:r>
      <w:r>
        <w:t xml:space="preserve">review them. For FedRAMP 20x KSI-CED-RAT,</w:t>
      </w:r>
      <w:r>
        <w:t xml:space="preserve"> </w:t>
      </w:r>
      <w:r>
        <w:t xml:space="preserve">“review”</w:t>
      </w:r>
      <w:r>
        <w:t xml:space="preserve"> </w:t>
      </w:r>
      <w:r>
        <w:t xml:space="preserve">must be persistent and</w:t>
      </w:r>
      <w:r>
        <w:t xml:space="preserve"> </w:t>
      </w:r>
      <w:r>
        <w:t xml:space="preserve">machine-readable — the UIAO governance substrate needs to query whether all</w:t>
      </w:r>
      <w:r>
        <w:t xml:space="preserve"> </w:t>
      </w:r>
      <w:r>
        <w:t xml:space="preserve">four training dimensions have been reviewed, for which populations, and</w:t>
      </w:r>
      <w:r>
        <w:t xml:space="preserve"> </w:t>
      </w:r>
      <w:r>
        <w:t xml:space="preserve">when.</w:t>
      </w:r>
    </w:p>
    <w:p>
      <w:pPr>
        <w:pStyle w:val="BodyText"/>
      </w:pPr>
      <w:r>
        <w:t xml:space="preserve">The evidence contract for KSI-022 specifies:</w:t>
      </w:r>
    </w:p>
    <w:p>
      <w:pPr>
        <w:pStyle w:val="SourceCode"/>
      </w:pPr>
      <w:r>
        <w:rPr>
          <w:rStyle w:val="VerbatimChar"/>
        </w:rPr>
        <w:t xml:space="preserve">Substrate_Signal: governance.training-effectiveness-record</w:t>
      </w:r>
      <w:r>
        <w:br/>
      </w:r>
      <w:r>
        <w:rPr>
          <w:rStyle w:val="VerbatimChar"/>
        </w:rPr>
        <w:t xml:space="preserve">Data_Type:        Document</w:t>
      </w:r>
      <w:r>
        <w:br/>
      </w:r>
      <w:r>
        <w:rPr>
          <w:rStyle w:val="VerbatimChar"/>
        </w:rPr>
        <w:t xml:space="preserve">Evidence:         LMS training completion record demonstrating all four</w:t>
      </w:r>
      <w:r>
        <w:br/>
      </w:r>
      <w:r>
        <w:rPr>
          <w:rStyle w:val="VerbatimChar"/>
        </w:rPr>
        <w:t xml:space="preserve">                  training dimensions are reviewed</w:t>
      </w:r>
    </w:p>
    <w:p>
      <w:pPr>
        <w:pStyle w:val="FirstParagraph"/>
      </w:pPr>
      <w:r>
        <w:t xml:space="preserve">This means the LMS must produce an exportable record that the UIAO can</w:t>
      </w:r>
      <w:r>
        <w:t xml:space="preserve"> </w:t>
      </w:r>
      <w:r>
        <w:t xml:space="preserve">ingest and query. The record must answer four questions: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employees</w:t>
      </w:r>
      <w:r>
        <w:t xml:space="preserve"> </w:t>
      </w:r>
      <w:r>
        <w:t xml:space="preserve">complete annual security awareness training (AT-2)?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role-designated personnel</w:t>
      </w:r>
      <w:r>
        <w:t xml:space="preserve"> </w:t>
      </w:r>
      <w:r>
        <w:t xml:space="preserve">complete their role-specific track (AT-3)?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developers / engineers</w:t>
      </w:r>
      <w:r>
        <w:t xml:space="preserve"> </w:t>
      </w:r>
      <w:r>
        <w:t xml:space="preserve">complete secure delivery training (AT-3(3))?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IR/DR personnel</w:t>
      </w:r>
      <w:r>
        <w:t xml:space="preserve"> </w:t>
      </w:r>
      <w:r>
        <w:t xml:space="preserve">attend the required drills and tabletops (IR-2, CP-3)?</w:t>
      </w:r>
    </w:p>
    <w:bookmarkEnd w:id="39"/>
    <w:bookmarkStart w:id="43" w:name="training-completion-record-schema"/>
    <w:p>
      <w:pPr>
        <w:pStyle w:val="Heading2"/>
      </w:pPr>
      <w:r>
        <w:t xml:space="preserve">7.2 Training Completion Record Schema</w:t>
      </w:r>
    </w:p>
    <w:p>
      <w:pPr>
        <w:pStyle w:val="FirstParagraph"/>
      </w:pPr>
      <w:r>
        <w:t xml:space="preserve">The training-effectiveness-record exported to the UIAO substrate follows</w:t>
      </w:r>
      <w:r>
        <w:t xml:space="preserve"> </w:t>
      </w:r>
      <w:r>
        <w:t xml:space="preserve">this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"training-effectiveness-review"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"Viva Learning Graph API 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"general_awareness_at2"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"overdue"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 Viva Learning"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"course_id"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"AAN-AT2-2026"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"phishing_simulation"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"campaigns_run"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"average_click_rate"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"remedial_training_triggered"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"role_based_at3"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"tier1_sysadmin"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"tier2_privileged"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"tier3_developer"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"tier4_ir_responder"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"tier5_data_steward"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"tier6_executive"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"secure_delivery_at3_sa16"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"labs_completed"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"ir_dr_training_ir2_cp3"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"ir_drills"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"tabletop_exercises"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"after_action_reports"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"ksi_ced_rat_status"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"attestation"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"[ISSO Name]"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aptionedFigure"/>
      </w:pPr>
      <w:r>
        <w:drawing>
          <wp:inline>
            <wp:extent cx="5334000" cy="1795096"/>
            <wp:effectExtent b="0" l="0" r="0" t="0"/>
            <wp:docPr descr="AT-4 Evidence Collection Pipeline — governance.training-effectiveness-record" title="" id="41" name="Picture"/>
            <a:graphic>
              <a:graphicData uri="http://schemas.openxmlformats.org/drawingml/2006/picture">
                <pic:pic>
                  <pic:nvPicPr>
                    <pic:cNvPr descr="figs/ced-fig-02-evidence-pipelin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AT-4 Evidence Collection Pipeline — governance.training-effectiveness-record</w:t>
      </w:r>
    </w:p>
    <w:bookmarkEnd w:id="43"/>
    <w:bookmarkStart w:id="46" w:name="microsoft-viva-learning-integration"/>
    <w:p>
      <w:pPr>
        <w:pStyle w:val="Heading2"/>
      </w:pPr>
      <w:r>
        <w:t xml:space="preserve">7.3 Microsoft Viva Learning Integration</w:t>
      </w:r>
    </w:p>
    <w:p>
      <w:pPr>
        <w:pStyle w:val="FirstParagraph"/>
      </w:pPr>
      <w:r>
        <w:t xml:space="preserve">For organizations on Microsoft 365 GCC E3 or E5, Viva Learning is the</w:t>
      </w:r>
      <w:r>
        <w:t xml:space="preserve"> </w:t>
      </w:r>
      <w:r>
        <w:t xml:space="preserve">recommended LMS platform because its completion data is accessible via the</w:t>
      </w:r>
      <w:r>
        <w:t xml:space="preserve"> </w:t>
      </w:r>
      <w:r>
        <w:t xml:space="preserve">Microsoft Graph API without additional integration effort:</w:t>
      </w:r>
    </w:p>
    <w:bookmarkStart w:id="44" w:name="graph-api-query-for-at-4-evidence"/>
    <w:p>
      <w:pPr>
        <w:pStyle w:val="Heading3"/>
      </w:pPr>
      <w:r>
        <w:t xml:space="preserve">7.3.1 Graph API Query for AT-4 Evidence</w:t>
      </w:r>
    </w:p>
    <w:p>
      <w:pPr>
        <w:pStyle w:val="SourceCode"/>
      </w:pPr>
      <w:r>
        <w:rPr>
          <w:rStyle w:val="CommentTok"/>
        </w:rPr>
        <w:t xml:space="preserve"># Get training completion records for AT-4 evidence export</w:t>
      </w:r>
      <w:r>
        <w:br/>
      </w:r>
      <w:r>
        <w:rPr>
          <w:rStyle w:val="CommentTok"/>
        </w:rPr>
        <w:t xml:space="preserve"># Requires: LearningAssignmentReport.Read.All permission</w:t>
      </w:r>
      <w:r>
        <w:br/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Authorization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VariableTok"/>
        </w:rPr>
        <w:t xml:space="preserve">$accessToken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Query all learning assignments in the review period</w:t>
      </w:r>
      <w:r>
        <w:br/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`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"https://graph.microsoft.com/v1.0/employeeExperience/learningCourseActivities"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</w:t>
      </w:r>
      <w:r>
        <w:br/>
      </w:r>
      <w:r>
        <w:br/>
      </w:r>
      <w:r>
        <w:rPr>
          <w:rStyle w:val="CommentTok"/>
        </w:rPr>
        <w:t xml:space="preserve"># Filter by course IDs in the AAN training program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courseId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"AAN-AT2-2026"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"AAN-AT3-SYSADMIN-2026"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"AAN-AT3-DEV-2026"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"AAN-AT3-IR-2026"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Export to JSON for UIAO substrate ingestion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"training-record-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'yyyyQq'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.json"</w:t>
      </w:r>
    </w:p>
    <w:bookmarkEnd w:id="44"/>
    <w:bookmarkStart w:id="45" w:name="automated-monthly-export"/>
    <w:p>
      <w:pPr>
        <w:pStyle w:val="Heading3"/>
      </w:pPr>
      <w:r>
        <w:t xml:space="preserve">7.3.2 Automated Monthly Export</w:t>
      </w:r>
    </w:p>
    <w:p>
      <w:pPr>
        <w:pStyle w:val="FirstParagraph"/>
      </w:pPr>
      <w:r>
        <w:t xml:space="preserve">The training completion export should run on a monthly schedule so the</w:t>
      </w:r>
      <w:r>
        <w:t xml:space="preserve"> </w:t>
      </w:r>
      <w:r>
        <w:t xml:space="preserve">UIAO substrate always reflects current completion status. The recommended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Logic App or Azure Automation runbook</w:t>
      </w:r>
      <w:r>
        <w:t xml:space="preserve"> </w:t>
      </w:r>
      <w:r>
        <w:t xml:space="preserve">triggers on the 1st of each month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 API call</w:t>
      </w:r>
      <w:r>
        <w:t xml:space="preserve"> </w:t>
      </w:r>
      <w:r>
        <w:t xml:space="preserve">retrieves completion records for all AAN training courses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maps Graph API response to the UIAO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writes the JSON to the governance record store (Azure Storage, GCC-compliant)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UIAO substrate pull</w:t>
      </w:r>
      <w:r>
        <w:t xml:space="preserve"> </w:t>
      </w:r>
      <w:r>
        <w:t xml:space="preserve">ingests the record on the next evidence collection cycle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nist-control-closure"/>
    <w:p>
      <w:pPr>
        <w:pStyle w:val="Heading1"/>
      </w:pPr>
      <w:r>
        <w:t xml:space="preserve">8. NIST Control Closure</w:t>
      </w:r>
    </w:p>
    <w:bookmarkStart w:id="48" w:name="at-family-awareness-and-training"/>
    <w:p>
      <w:pPr>
        <w:pStyle w:val="Heading2"/>
      </w:pPr>
      <w:r>
        <w:t xml:space="preserve">8.1 AT Family — Awareness and Training</w:t>
      </w:r>
    </w:p>
    <w:p>
      <w:pPr>
        <w:pStyle w:val="TableCaption"/>
      </w:pPr>
      <w:r>
        <w:t xml:space="preserve">AT Family Control Closure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"/>
      </w:tblPr>
      <w:tblGrid>
        <w:gridCol w:w="1425"/>
        <w:gridCol w:w="2059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This Document Closes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Security awareness training for all personnel before access and annually</w:t>
            </w:r>
          </w:p>
        </w:tc>
        <w:tc>
          <w:tcPr/>
          <w:p>
            <w:pPr>
              <w:pStyle w:val="Compact"/>
            </w:pPr>
            <w:r>
              <w:t xml:space="preserve">Annual Viva Learning program covering all 8 modules; phishing simulation quarterly; LMS completion record as AT-4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Quarterly phishing simulation with click-rate tracking and remedial training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Dedicated insider threat module in annual awareness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 for personnel with security responsibilities</w:t>
            </w:r>
          </w:p>
        </w:tc>
        <w:tc>
          <w:tcPr/>
          <w:p>
            <w:pPr>
              <w:pStyle w:val="Compact"/>
            </w:pPr>
            <w:r>
              <w:t xml:space="preserve">Six-tier role matrix with distinct curricula; completion tracked separately per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SBOM/Grype labs for Tier 3; Sentinel drill exercises for Tier 4; tabletop participation for Tier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PII processing training</w:t>
            </w:r>
          </w:p>
        </w:tc>
        <w:tc>
          <w:tcPr/>
          <w:p>
            <w:pPr>
              <w:pStyle w:val="Compact"/>
            </w:pPr>
            <w:r>
              <w:t xml:space="preserve">Purview DLP and sensitivity label training for Tier 5 data stewards; connects to Part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Viva Learning Graph API export; JSON schema defined; monthly automated pull to UIAO governance substrate</w:t>
            </w:r>
          </w:p>
        </w:tc>
      </w:tr>
    </w:tbl>
    <w:bookmarkEnd w:id="48"/>
    <w:bookmarkStart w:id="49" w:name="cp-and-ir-family-contributions"/>
    <w:p>
      <w:pPr>
        <w:pStyle w:val="Heading2"/>
      </w:pPr>
      <w:r>
        <w:t xml:space="preserve">8.2 CP and IR Family Contributions</w:t>
      </w:r>
    </w:p>
    <w:p>
      <w:pPr>
        <w:pStyle w:val="TableCaption"/>
      </w:pPr>
      <w:r>
        <w:t xml:space="preserve">CP-3 and IR-2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d IR-2 Contributions"/>
      </w:tblPr>
      <w:tblGrid>
        <w:gridCol w:w="1827"/>
        <w:gridCol w:w="60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Contributes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Annual tabletop calendar with four quarterly exercises; attendance and after-action records archived; feeds PM-14 T&amp;T&amp;M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Semi-annual IR procedure drills; quarterly Sentinel playbook exercises; scenario library maintained by SOC; after-action reports archived</w:t>
            </w:r>
          </w:p>
        </w:tc>
      </w:tr>
    </w:tbl>
    <w:bookmarkEnd w:id="49"/>
    <w:bookmarkStart w:id="50" w:name="net-new-controls-closed-by-part-18"/>
    <w:p>
      <w:pPr>
        <w:pStyle w:val="Heading2"/>
      </w:pPr>
      <w:r>
        <w:t xml:space="preserve">8.3 Net New Controls Closed by Part 18</w:t>
      </w:r>
    </w:p>
    <w:p>
      <w:pPr>
        <w:pStyle w:val="TableCaption"/>
      </w:pPr>
      <w:r>
        <w:t xml:space="preserve">Part 18 — Net New NIST SP 800-53 Rev 5 Controls Closed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8 — Net New NIST SP 800-53 Rev 5 Controls Closed"/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—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 — Contingency Planning</w:t>
            </w:r>
          </w:p>
        </w:tc>
        <w:tc>
          <w:tcPr/>
          <w:p>
            <w:pPr>
              <w:pStyle w:val="Compact"/>
            </w:pPr>
            <w:r>
              <w:t xml:space="preserve">CP-3 (tabletop evidence; plan execution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— Incident Response</w:t>
            </w:r>
          </w:p>
        </w:tc>
        <w:tc>
          <w:tcPr/>
          <w:p>
            <w:pPr>
              <w:pStyle w:val="Compact"/>
            </w:pPr>
            <w:r>
              <w:t xml:space="preserve">IR-2 (drill evidence; playbook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controls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ksi-ced-rat-activation"/>
    <w:p>
      <w:pPr>
        <w:pStyle w:val="Heading1"/>
      </w:pPr>
      <w:r>
        <w:t xml:space="preserve">9. KSI-CED-RAT Activation</w:t>
      </w:r>
    </w:p>
    <w:bookmarkStart w:id="52" w:name="evidence-contract"/>
    <w:p>
      <w:pPr>
        <w:pStyle w:val="Heading2"/>
      </w:pPr>
      <w:r>
        <w:t xml:space="preserve">9.1 Evidence Contract</w:t>
      </w:r>
    </w:p>
    <w:p>
      <w:pPr>
        <w:pStyle w:val="FirstParagraph"/>
      </w:pPr>
      <w:r>
        <w:t xml:space="preserve">KSI-022 (KSI-CED-RAT —</w:t>
      </w:r>
      <w:r>
        <w:t xml:space="preserve"> </w:t>
      </w:r>
      <w:r>
        <w:t xml:space="preserve">“Reviewing All Training”</w:t>
      </w:r>
      <w:r>
        <w:t xml:space="preserve">) is the final scaffold</w:t>
      </w:r>
      <w:r>
        <w:t xml:space="preserve"> </w:t>
      </w:r>
      <w:r>
        <w:t xml:space="preserve">rule in the UIAO CR26 ruleset. Its activation requires a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that demonstrates persistent</w:t>
      </w:r>
      <w:r>
        <w:t xml:space="preserve"> </w:t>
      </w:r>
      <w:r>
        <w:t xml:space="preserve">review of all four training dimensions.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1 (AT-2):</w:t>
      </w:r>
      <w:r>
        <w:t xml:space="preserve"> </w:t>
      </w:r>
      <w:r>
        <w:t xml:space="preserve">Annual Viva Learning program with monthly LMS</w:t>
      </w:r>
      <w:r>
        <w:t xml:space="preserve"> </w:t>
      </w:r>
      <w:r>
        <w:t xml:space="preserve">export — the record shows completion rate, population covered, and</w:t>
      </w:r>
      <w:r>
        <w:t xml:space="preserve"> </w:t>
      </w:r>
      <w:r>
        <w:t xml:space="preserve">phishing simulation results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2 (AT-3 role-based):</w:t>
      </w:r>
      <w:r>
        <w:t xml:space="preserve"> </w:t>
      </w:r>
      <w:r>
        <w:t xml:space="preserve">Six-tier completion record in the</w:t>
      </w:r>
      <w:r>
        <w:t xml:space="preserve"> </w:t>
      </w:r>
      <w:r>
        <w:t xml:space="preserve">JSON schema — each tier tracked separately, completion rate and overdue</w:t>
      </w:r>
      <w:r>
        <w:t xml:space="preserve"> </w:t>
      </w:r>
      <w:r>
        <w:t xml:space="preserve">count visible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3 (AT-3 secure delivery):</w:t>
      </w:r>
      <w:r>
        <w:t xml:space="preserve"> </w:t>
      </w:r>
      <w:r>
        <w:t xml:space="preserve">Developer lab completion</w:t>
      </w:r>
      <w:r>
        <w:t xml:space="preserve"> </w:t>
      </w:r>
      <w:r>
        <w:t xml:space="preserve">records and course transcripts — Syft/Grype labs produce a</w:t>
      </w:r>
      <w:r>
        <w:t xml:space="preserve"> </w:t>
      </w:r>
      <w:r>
        <w:t xml:space="preserve">participation record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4 (IR-2/CP-3):</w:t>
      </w:r>
      <w:r>
        <w:t xml:space="preserve"> </w:t>
      </w:r>
      <w:r>
        <w:t xml:space="preserve">Tabletop attendance records and after-action</w:t>
      </w:r>
      <w:r>
        <w:t xml:space="preserve"> </w:t>
      </w:r>
      <w:r>
        <w:t xml:space="preserve">reports — archived documents with dates, attendees, and findings</w:t>
      </w:r>
    </w:p>
    <w:p>
      <w:pPr>
        <w:pStyle w:val="FirstParagraph"/>
      </w:pPr>
      <w:r>
        <w:t xml:space="preserve">When the monthly LMS export is running and the UIAO substrate is ingesting</w:t>
      </w:r>
      <w:r>
        <w:t xml:space="preserve"> </w:t>
      </w:r>
      <w:r>
        <w:t xml:space="preserve">it, the</w:t>
      </w:r>
      <w:r>
        <w:t xml:space="preserve"> </w:t>
      </w:r>
      <w:r>
        <w:rPr>
          <w:rStyle w:val="VerbatimChar"/>
        </w:rPr>
        <w:t xml:space="preserve">ksi_ced_rat_status</w:t>
      </w:r>
      <w:r>
        <w:t xml:space="preserve"> </w:t>
      </w:r>
      <w:r>
        <w:t xml:space="preserve">field in the record evaluates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when:</w:t>
      </w:r>
    </w:p>
    <w:p>
      <w:pPr>
        <w:pStyle w:val="Compact"/>
        <w:numPr>
          <w:ilvl w:val="0"/>
          <w:numId w:val="1009"/>
        </w:numPr>
      </w:pPr>
      <w:r>
        <w:t xml:space="preserve">AT-2 completion rate ≥ 95% (allowing for onboarding lag and approved exceptions)</w:t>
      </w:r>
    </w:p>
    <w:p>
      <w:pPr>
        <w:pStyle w:val="Compact"/>
        <w:numPr>
          <w:ilvl w:val="0"/>
          <w:numId w:val="1009"/>
        </w:numPr>
      </w:pPr>
      <w:r>
        <w:t xml:space="preserve">AT-3 completion rate ≥ 95% per tier</w:t>
      </w:r>
    </w:p>
    <w:p>
      <w:pPr>
        <w:pStyle w:val="Compact"/>
        <w:numPr>
          <w:ilvl w:val="0"/>
          <w:numId w:val="1009"/>
        </w:numPr>
      </w:pPr>
      <w:r>
        <w:t xml:space="preserve">AT-3 secure delivery completion rate ≥ 95%</w:t>
      </w:r>
    </w:p>
    <w:p>
      <w:pPr>
        <w:pStyle w:val="Compact"/>
        <w:numPr>
          <w:ilvl w:val="0"/>
          <w:numId w:val="1009"/>
        </w:numPr>
      </w:pPr>
      <w:r>
        <w:t xml:space="preserve">IR/DR drills conducted on schedule (both semi-annual drills run; tabletop run)</w:t>
      </w:r>
    </w:p>
    <w:bookmarkEnd w:id="52"/>
    <w:bookmarkStart w:id="53" w:name="ksi-022-status-after-part-18"/>
    <w:p>
      <w:pPr>
        <w:pStyle w:val="Heading2"/>
      </w:pPr>
      <w:r>
        <w:t xml:space="preserve">9.2 KSI-022 Status After Part 18</w:t>
      </w:r>
    </w:p>
    <w:p>
      <w:pPr>
        <w:pStyle w:val="FirstParagraph"/>
      </w:pPr>
      <w:r>
        <w:t xml:space="preserve">Once the monthly LMS export is operational and the first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is ingested by the UIAO substrate: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KSI-022 status:</w:t>
      </w:r>
      <w:r>
        <w:t xml:space="preserve"> </w:t>
      </w:r>
      <w:r>
        <w:t xml:space="preserve">scaffold →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Confidence:</w:t>
      </w:r>
      <w:r>
        <w:t xml:space="preserve"> </w:t>
      </w:r>
      <w:r>
        <w:t xml:space="preserve">low →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(pending first full-year completion cycle)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CR26 KSI coverage:</w:t>
      </w:r>
      <w:r>
        <w:t xml:space="preserve"> </w:t>
      </w:r>
      <w:r>
        <w:t xml:space="preserve">28/29 active →</w:t>
      </w:r>
      <w:r>
        <w:t xml:space="preserve"> </w:t>
      </w:r>
      <w:r>
        <w:rPr>
          <w:b/>
          <w:bCs/>
        </w:rPr>
        <w:t xml:space="preserve">29/29 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 CR26 KSI themes:</w:t>
      </w:r>
      <w:r>
        <w:t xml:space="preserve"> </w:t>
      </w:r>
      <w:r>
        <w:t xml:space="preserve">IAM ✓ · MLA ✓ · SVC ✓ · SCR ✓ · PIY ✓ · INR ✓ · RPL ✓ ·</w:t>
      </w:r>
      <w:r>
        <w:t xml:space="preserve"> </w:t>
      </w:r>
      <w:r>
        <w:rPr>
          <w:b/>
          <w:bCs/>
        </w:rPr>
        <w:t xml:space="preserve">CED ✓</w:t>
      </w:r>
    </w:p>
    <w:p>
      <w:pPr>
        <w:pStyle w:val="FirstParagraph"/>
      </w:pPr>
      <w:r>
        <w:rPr>
          <w:b/>
          <w:bCs/>
        </w:rPr>
        <w:t xml:space="preserve">This completes the KSI coverage across all eight CR26 themes.</w:t>
      </w:r>
      <w:r>
        <w:t xml:space="preserve"> </w:t>
      </w:r>
      <w:r>
        <w:t xml:space="preserve">The</w:t>
      </w:r>
      <w:r>
        <w:t xml:space="preserve"> </w:t>
      </w:r>
      <w:r>
        <w:t xml:space="preserve">Federal Application-Aware Networking series — eighteen books, nine NIST</w:t>
      </w:r>
      <w:r>
        <w:t xml:space="preserve"> </w:t>
      </w:r>
      <w:r>
        <w:t xml:space="preserve">control families, 29 CR26 Key Security Indicators — is fully evaluable</w:t>
      </w:r>
      <w:r>
        <w:t xml:space="preserve"> </w:t>
      </w:r>
      <w:r>
        <w:t xml:space="preserve">under FedRAMP 20x Consolidated Rules.</w:t>
      </w:r>
    </w:p>
    <w:bookmarkEnd w:id="53"/>
    <w:bookmarkStart w:id="54" w:name="series-completion-summary"/>
    <w:p>
      <w:pPr>
        <w:pStyle w:val="Heading2"/>
      </w:pPr>
      <w:r>
        <w:t xml:space="preserve">9.3 Series Completion Summary</w:t>
      </w:r>
    </w:p>
    <w:p>
      <w:pPr>
        <w:pStyle w:val="TableCaption"/>
      </w:pPr>
      <w:r>
        <w:t xml:space="preserve">Federal AAN Series — Complete Control and KSI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mplete Control and KSI Coverage"/>
      </w:tblPr>
      <w:tblGrid>
        <w:gridCol w:w="1033"/>
        <w:gridCol w:w="1377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  <w:tc>
          <w:tcPr/>
          <w:p>
            <w:pPr>
              <w:pStyle w:val="Compact"/>
            </w:pPr>
            <w:r>
              <w:t xml:space="preserve">KSIs 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Landing Zone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IAM, MLA, SVC (addressing)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Telecommunications (SD-WAN/SASE)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(boundary), 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Network and Identity Modernization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IAM, SVC (network)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7–8</w:t>
            </w:r>
          </w:p>
        </w:tc>
        <w:tc>
          <w:tcPr/>
          <w:p>
            <w:pPr>
              <w:pStyle w:val="Compact"/>
            </w:pPr>
            <w:r>
              <w:t xml:space="preserve">SQL Server Authentication</w:t>
            </w:r>
          </w:p>
        </w:tc>
        <w:tc>
          <w:tcPr/>
          <w:p>
            <w:pPr>
              <w:pStyle w:val="Compact"/>
            </w:pPr>
            <w:r>
              <w:t xml:space="preserve">auth surface</w:t>
            </w:r>
          </w:p>
        </w:tc>
        <w:tc>
          <w:tcPr/>
          <w:p>
            <w:pPr>
              <w:pStyle w:val="Compact"/>
            </w:pPr>
            <w:r>
              <w:t xml:space="preserve">IAM (SQL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and Network Physics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AC-5/6/11/12, IA-11</w:t>
            </w:r>
          </w:p>
        </w:tc>
        <w:tc>
          <w:tcPr/>
          <w:p>
            <w:pPr>
              <w:pStyle w:val="Compact"/>
            </w:pPr>
            <w:r>
              <w:t xml:space="preserve">IAM-ELP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RA-5, SI-2, CM-7</w:t>
            </w:r>
          </w:p>
        </w:tc>
        <w:tc>
          <w:tcPr/>
          <w:p>
            <w:pPr>
              <w:pStyle w:val="Compact"/>
            </w:pPr>
            <w:r>
              <w:t xml:space="preserve">MLA-ALA, 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and Purview</w:t>
            </w:r>
          </w:p>
        </w:tc>
        <w:tc>
          <w:tcPr/>
          <w:p>
            <w:pPr>
              <w:pStyle w:val="Compact"/>
            </w:pPr>
            <w:r>
              <w:t xml:space="preserve">MP, SC-12/13/28</w:t>
            </w:r>
          </w:p>
        </w:tc>
        <w:tc>
          <w:tcPr/>
          <w:p>
            <w:pPr>
              <w:pStyle w:val="Compact"/>
            </w:pPr>
            <w:r>
              <w:t xml:space="preserve">SVC (data protection)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AU-6/7/8, SI-4, IR-4/6/8</w:t>
            </w:r>
          </w:p>
        </w:tc>
        <w:tc>
          <w:tcPr/>
          <w:p>
            <w:pPr>
              <w:pStyle w:val="Compact"/>
            </w:pPr>
            <w:r>
              <w:t xml:space="preserve">MLA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</w:t>
            </w:r>
          </w:p>
        </w:tc>
        <w:tc>
          <w:tcPr/>
          <w:p>
            <w:pPr>
              <w:pStyle w:val="Compact"/>
            </w:pPr>
            <w:r>
              <w:t xml:space="preserve">CP-2 through CP-10</w:t>
            </w:r>
          </w:p>
        </w:tc>
        <w:tc>
          <w:tcPr/>
          <w:p>
            <w:pPr>
              <w:pStyle w:val="Compact"/>
            </w:pPr>
            <w:r>
              <w:t xml:space="preserve">RPL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Management</w:t>
            </w:r>
          </w:p>
        </w:tc>
        <w:tc>
          <w:tcPr/>
          <w:p>
            <w:pPr>
              <w:pStyle w:val="Compact"/>
            </w:pPr>
            <w:r>
              <w:t xml:space="preserve">SR-1 through SR-11</w:t>
            </w:r>
          </w:p>
        </w:tc>
        <w:tc>
          <w:tcPr/>
          <w:p>
            <w:pPr>
              <w:pStyle w:val="Compact"/>
            </w:pPr>
            <w:r>
              <w:t xml:space="preserve">SCR-MIT, SCR-MON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  <w:tc>
          <w:tcPr/>
          <w:p>
            <w:pPr>
              <w:pStyle w:val="Compact"/>
            </w:pPr>
            <w:r>
              <w:t xml:space="preserve">SCR (governance)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 through PT-7</w:t>
            </w:r>
          </w:p>
        </w:tc>
        <w:tc>
          <w:tcPr/>
          <w:p>
            <w:pPr>
              <w:pStyle w:val="Compact"/>
            </w:pPr>
            <w:r>
              <w:t xml:space="preserve">PIY-RSD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Training and Awareness</w:t>
            </w:r>
          </w:p>
        </w:tc>
        <w:tc>
          <w:tcPr/>
          <w:p>
            <w:pPr>
              <w:pStyle w:val="Compact"/>
            </w:pPr>
            <w:r>
              <w:t xml:space="preserve">AT-2/3/4, CP-3, IR-2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CED-RAT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0" w:name="implementation-checklist"/>
    <w:p>
      <w:pPr>
        <w:pStyle w:val="Heading1"/>
      </w:pPr>
      <w:r>
        <w:t xml:space="preserve">10. Implementation Checklist</w:t>
      </w:r>
    </w:p>
    <w:bookmarkStart w:id="56" w:name="phase-1-program-setup-weeks-14"/>
    <w:p>
      <w:pPr>
        <w:pStyle w:val="Heading2"/>
      </w:pPr>
      <w:r>
        <w:t xml:space="preserve">10.1 Phase 1 — Program Setup (Weeks 1–4)</w:t>
      </w:r>
    </w:p>
    <w:p>
      <w:pPr>
        <w:pStyle w:val="Compact"/>
        <w:numPr>
          <w:ilvl w:val="0"/>
          <w:numId w:val="1011"/>
        </w:numPr>
      </w:pPr>
      <w:r>
        <w:t xml:space="preserve">Designate training program owner (ISSO or delegate)</w:t>
      </w:r>
    </w:p>
    <w:p>
      <w:pPr>
        <w:pStyle w:val="Compact"/>
        <w:numPr>
          <w:ilvl w:val="0"/>
          <w:numId w:val="1012"/>
        </w:numPr>
      </w:pPr>
      <w:r>
        <w:t xml:space="preserve">Select LMS platform (Viva Learning recommended for M365 GCC E3/E5)</w:t>
      </w:r>
    </w:p>
    <w:p>
      <w:pPr>
        <w:pStyle w:val="Compact"/>
        <w:numPr>
          <w:ilvl w:val="0"/>
          <w:numId w:val="1013"/>
        </w:numPr>
      </w:pPr>
      <w:r>
        <w:t xml:space="preserve">Define role tier assignments — map all users to Tier 1–6</w:t>
      </w:r>
    </w:p>
    <w:p>
      <w:pPr>
        <w:pStyle w:val="Compact"/>
        <w:numPr>
          <w:ilvl w:val="0"/>
          <w:numId w:val="1014"/>
        </w:numPr>
      </w:pPr>
      <w:r>
        <w:t xml:space="preserve">Configure Graph API export with</w:t>
      </w:r>
      <w:r>
        <w:t xml:space="preserve"> </w:t>
      </w:r>
      <w:r>
        <w:rPr>
          <w:rStyle w:val="VerbatimChar"/>
        </w:rPr>
        <w:t xml:space="preserve">LearningAssignmentReport.Read.All</w:t>
      </w:r>
    </w:p>
    <w:p>
      <w:pPr>
        <w:pStyle w:val="Compact"/>
        <w:numPr>
          <w:ilvl w:val="0"/>
          <w:numId w:val="1015"/>
        </w:numPr>
      </w:pPr>
      <w:r>
        <w:t xml:space="preserve">Create course library in Viva Learning (or import CISA/DoD content)</w:t>
      </w:r>
    </w:p>
    <w:p>
      <w:pPr>
        <w:pStyle w:val="Compact"/>
        <w:numPr>
          <w:ilvl w:val="0"/>
          <w:numId w:val="1016"/>
        </w:numPr>
      </w:pPr>
      <w:r>
        <w:t xml:space="preserve">Enroll all employees in AT-2 general awareness track</w:t>
      </w:r>
    </w:p>
    <w:bookmarkEnd w:id="56"/>
    <w:bookmarkStart w:id="57" w:name="phase-2-content-and-delivery-weeks-512"/>
    <w:p>
      <w:pPr>
        <w:pStyle w:val="Heading2"/>
      </w:pPr>
      <w:r>
        <w:t xml:space="preserve">10.2 Phase 2 — Content and Delivery (Weeks 5–12)</w:t>
      </w:r>
    </w:p>
    <w:p>
      <w:pPr>
        <w:pStyle w:val="Compact"/>
        <w:numPr>
          <w:ilvl w:val="0"/>
          <w:numId w:val="1017"/>
        </w:numPr>
      </w:pPr>
      <w:r>
        <w:t xml:space="preserve">Launch AT-2 general awareness campaign (all employees)</w:t>
      </w:r>
    </w:p>
    <w:p>
      <w:pPr>
        <w:pStyle w:val="Compact"/>
        <w:numPr>
          <w:ilvl w:val="0"/>
          <w:numId w:val="1018"/>
        </w:numPr>
      </w:pPr>
      <w:r>
        <w:t xml:space="preserve">Launch AT-3 Tier 1 (sysadmin) and Tier 3 (developer) tracks — highest priority</w:t>
      </w:r>
    </w:p>
    <w:p>
      <w:pPr>
        <w:pStyle w:val="Compact"/>
        <w:numPr>
          <w:ilvl w:val="0"/>
          <w:numId w:val="1019"/>
        </w:numPr>
      </w:pPr>
      <w:r>
        <w:t xml:space="preserve">Configure phishing simulation platform (Attack Simulator or KnowBe4)</w:t>
      </w:r>
    </w:p>
    <w:p>
      <w:pPr>
        <w:pStyle w:val="Compact"/>
        <w:numPr>
          <w:ilvl w:val="0"/>
          <w:numId w:val="1020"/>
        </w:numPr>
      </w:pPr>
      <w:r>
        <w:t xml:space="preserve">Run first phishing simulation campaign</w:t>
      </w:r>
    </w:p>
    <w:p>
      <w:pPr>
        <w:pStyle w:val="Compact"/>
        <w:numPr>
          <w:ilvl w:val="0"/>
          <w:numId w:val="1021"/>
        </w:numPr>
      </w:pPr>
      <w:r>
        <w:t xml:space="preserve">Deliver first Tier 3 SBOM/Grype hands-on lab</w:t>
      </w:r>
    </w:p>
    <w:p>
      <w:pPr>
        <w:pStyle w:val="Compact"/>
        <w:numPr>
          <w:ilvl w:val="0"/>
          <w:numId w:val="1022"/>
        </w:numPr>
      </w:pPr>
      <w:r>
        <w:t xml:space="preserve">Schedule IR drill with SOC team</w:t>
      </w:r>
    </w:p>
    <w:bookmarkEnd w:id="57"/>
    <w:bookmarkStart w:id="58" w:name="phase-3-evidence-integration-weeks-1316"/>
    <w:p>
      <w:pPr>
        <w:pStyle w:val="Heading2"/>
      </w:pPr>
      <w:r>
        <w:t xml:space="preserve">10.3 Phase 3 — Evidence Integration (Weeks 13–16)</w:t>
      </w:r>
    </w:p>
    <w:p>
      <w:pPr>
        <w:pStyle w:val="Compact"/>
        <w:numPr>
          <w:ilvl w:val="0"/>
          <w:numId w:val="1023"/>
        </w:numPr>
      </w:pPr>
      <w:r>
        <w:t xml:space="preserve">Deploy Logic App / Automation Runbook for monthly LMS export</w:t>
      </w:r>
    </w:p>
    <w:p>
      <w:pPr>
        <w:pStyle w:val="Compact"/>
        <w:numPr>
          <w:ilvl w:val="0"/>
          <w:numId w:val="1024"/>
        </w:numPr>
      </w:pPr>
      <w:r>
        <w:t xml:space="preserve">Map Graph API output to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JSON schema</w:t>
      </w:r>
    </w:p>
    <w:p>
      <w:pPr>
        <w:pStyle w:val="Compact"/>
        <w:numPr>
          <w:ilvl w:val="0"/>
          <w:numId w:val="1025"/>
        </w:numPr>
      </w:pPr>
      <w:r>
        <w:t xml:space="preserve">Integrate export into UIAO governance substrate</w:t>
      </w:r>
    </w:p>
    <w:p>
      <w:pPr>
        <w:pStyle w:val="Compact"/>
        <w:numPr>
          <w:ilvl w:val="0"/>
          <w:numId w:val="1026"/>
        </w:numPr>
      </w:pPr>
      <w:r>
        <w:t xml:space="preserve">Validate KSI-022 query returns PASS on first ingested record</w:t>
      </w:r>
    </w:p>
    <w:p>
      <w:pPr>
        <w:pStyle w:val="Compact"/>
        <w:numPr>
          <w:ilvl w:val="0"/>
          <w:numId w:val="1027"/>
        </w:numPr>
      </w:pPr>
      <w:r>
        <w:t xml:space="preserve">Archive first tabletop after-action report in governance record store</w:t>
      </w:r>
    </w:p>
    <w:bookmarkEnd w:id="58"/>
    <w:bookmarkStart w:id="59" w:name="phase-4-steady-state-ongoing"/>
    <w:p>
      <w:pPr>
        <w:pStyle w:val="Heading2"/>
      </w:pPr>
      <w:r>
        <w:t xml:space="preserve">10.4 Phase 4 — Steady State (Ongoing)</w:t>
      </w:r>
    </w:p>
    <w:p>
      <w:pPr>
        <w:pStyle w:val="Compact"/>
        <w:numPr>
          <w:ilvl w:val="0"/>
          <w:numId w:val="1028"/>
        </w:numPr>
      </w:pPr>
      <w:r>
        <w:t xml:space="preserve">Monthly LMS export running and ingesting automatically</w:t>
      </w:r>
    </w:p>
    <w:p>
      <w:pPr>
        <w:pStyle w:val="Compact"/>
        <w:numPr>
          <w:ilvl w:val="0"/>
          <w:numId w:val="1029"/>
        </w:numPr>
      </w:pPr>
      <w:r>
        <w:t xml:space="preserve">Quarterly phishing simulation campaigns on calendar</w:t>
      </w:r>
    </w:p>
    <w:p>
      <w:pPr>
        <w:pStyle w:val="Compact"/>
        <w:numPr>
          <w:ilvl w:val="0"/>
          <w:numId w:val="1030"/>
        </w:numPr>
      </w:pPr>
      <w:r>
        <w:t xml:space="preserve">Semi-annual IR drill scheduled for H1 and H2</w:t>
      </w:r>
    </w:p>
    <w:p>
      <w:pPr>
        <w:pStyle w:val="Compact"/>
        <w:numPr>
          <w:ilvl w:val="0"/>
          <w:numId w:val="1031"/>
        </w:numPr>
      </w:pPr>
      <w:r>
        <w:t xml:space="preserve">Annual tabletop calendar set (Q1–Q4 per CP-3 schedule)</w:t>
      </w:r>
    </w:p>
    <w:p>
      <w:pPr>
        <w:pStyle w:val="Compact"/>
        <w:numPr>
          <w:ilvl w:val="0"/>
          <w:numId w:val="1032"/>
        </w:numPr>
      </w:pPr>
      <w:r>
        <w:t xml:space="preserve">ISSO reviews training-effectiveness-record quarterly dashboard</w:t>
      </w:r>
    </w:p>
    <w:p>
      <w:pPr>
        <w:pStyle w:val="Compact"/>
        <w:numPr>
          <w:ilvl w:val="0"/>
          <w:numId w:val="1033"/>
        </w:numPr>
      </w:pPr>
      <w:r>
        <w:t xml:space="preserve">Annual AT-2 content refresh cycle (update for emerging threats)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document-references"/>
    <w:p>
      <w:pPr>
        <w:pStyle w:val="Heading1"/>
      </w:pPr>
      <w:r>
        <w:t xml:space="preserve">11. 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SSA Landing Zone IPAM / FedRAMP</w:t>
            </w:r>
          </w:p>
        </w:tc>
        <w:tc>
          <w:tcPr/>
          <w:p>
            <w:pPr>
              <w:pStyle w:val="Compact"/>
            </w:pPr>
            <w:r>
              <w:t xml:space="preserve">Part 1: InfoBlox DDI, four-environment landing zone, NIST control mapping, FedRAMP 20x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Federal Telecommunications Modernization</w:t>
            </w:r>
          </w:p>
        </w:tc>
        <w:tc>
          <w:tcPr/>
          <w:p>
            <w:pPr>
              <w:pStyle w:val="Compact"/>
            </w:pPr>
            <w:r>
              <w:t xml:space="preserve">Part 6: Amazon Connect, Teams Phone, SD-WAN/SASE, G.114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Network Modernization</w:t>
            </w:r>
          </w:p>
        </w:tc>
        <w:tc>
          <w:tcPr/>
          <w:p>
            <w:pPr>
              <w:pStyle w:val="Compact"/>
            </w:pPr>
            <w:r>
              <w:t xml:space="preserve">Part 5: AD-to-Entra migration, ZTNA, Active Governance, FedRAMP 20x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Part 7: Arc Managed Identity, Kerberos/NTLM elimination, login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Implementation Guide</w:t>
            </w:r>
          </w:p>
        </w:tc>
        <w:tc>
          <w:tcPr/>
          <w:p>
            <w:pPr>
              <w:pStyle w:val="Compact"/>
            </w:pPr>
            <w:r>
              <w:t xml:space="preserve">Part 8: 10-book runbook — estate discovery, Arc deployment,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Database Consolidation and Network Physics</w:t>
            </w:r>
          </w:p>
        </w:tc>
        <w:tc>
          <w:tcPr/>
          <w:p>
            <w:pPr>
              <w:pStyle w:val="Compact"/>
            </w:pPr>
            <w:r>
              <w:t xml:space="preserve">Part 9: SSOT architecture, speed-of-light floor, SD-WAN for database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Privileged Access Management</w:t>
            </w:r>
          </w:p>
        </w:tc>
        <w:tc>
          <w:tcPr/>
          <w:p>
            <w:pPr>
              <w:pStyle w:val="Compact"/>
            </w:pPr>
            <w:r>
              <w:t xml:space="preserve">Part 10: Entra PIM JIT, PAW architecture, AC-6 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Vulnerability Management</w:t>
            </w:r>
          </w:p>
        </w:tc>
        <w:tc>
          <w:tcPr/>
          <w:p>
            <w:pPr>
              <w:pStyle w:val="Compact"/>
            </w:pPr>
            <w:r>
              <w:t xml:space="preserve">Part 11: Defender MDVM, CISA KEV, BOD 22-01 SLAs, RA-5 continuous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 Protection and Purview</w:t>
            </w:r>
          </w:p>
        </w:tc>
        <w:tc>
          <w:tcPr/>
          <w:p>
            <w:pPr>
              <w:pStyle w:val="Compact"/>
            </w:pPr>
            <w:r>
              <w:t xml:space="preserve">Part 12: Purview DLP, sensitivity labels, Key Vault CMK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Part 13: Sentinel connectors, KQL analytics, UEBA, Logic App playbooks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Business Continuity</w:t>
            </w:r>
          </w:p>
        </w:tc>
        <w:tc>
          <w:tcPr/>
          <w:p>
            <w:pPr>
              <w:pStyle w:val="Compact"/>
            </w:pPr>
            <w:r>
              <w:t xml:space="preserve">Part 14: CP-2 Contingency Plan, BIA, SQL AG and DDI DR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Part 15: Syft SBOM, Grype VDR, OpenVEX, GitHub Actions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Part 16: ISPP, POA&amp;M, SCRM Charter, PM-30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Part 17: PT family templates, Privacy Program Plan, Purview Data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Security and Privacy Controls — AT, CP, IR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800-50</w:t>
            </w:r>
          </w:p>
        </w:tc>
        <w:tc>
          <w:tcPr/>
          <w:p>
            <w:pPr>
              <w:pStyle w:val="Compact"/>
            </w:pPr>
            <w:r>
              <w:t xml:space="preserve">Building an Information Technology Security Awareness and Training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</w:t>
            </w:r>
          </w:p>
        </w:tc>
        <w:tc>
          <w:tcPr/>
          <w:p>
            <w:pPr>
              <w:pStyle w:val="Compact"/>
            </w:pPr>
            <w:r>
              <w:t xml:space="preserve">Information Technology Security Training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(June 25, 2026)</w:t>
            </w:r>
          </w:p>
        </w:tc>
        <w:tc>
          <w:tcPr/>
          <w:p>
            <w:pPr>
              <w:pStyle w:val="Compact"/>
            </w:pPr>
            <w:r>
              <w:t xml:space="preserve">KSI-CED-RAT — Reviewing All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 — federal workforce awareness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Annual awareness training; ATCTS completion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Graph API — Viva Learning</w:t>
            </w:r>
          </w:p>
        </w:tc>
        <w:tc>
          <w:tcPr/>
          <w:p>
            <w:pPr>
              <w:pStyle w:val="Compact"/>
            </w:pPr>
            <w:r>
              <w:t xml:space="preserve">LearningCourseActivities endpoint for AT-4 evidence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Improving the Nation’s Cybersecurity — training requirements for federal workforce</w:t>
            </w:r>
          </w:p>
        </w:tc>
      </w:tr>
    </w:tbl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18 — Federal Application-Aware Networking — Part 18</dc:title>
  <dc:creator>SSA Cloud Services Team</dc:creator>
  <cp:keywords/>
  <dcterms:created xsi:type="dcterms:W3CDTF">2026-07-06T11:47:07Z</dcterms:created>
  <dcterms:modified xsi:type="dcterms:W3CDTF">2026-07-06T11:47:07Z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Cybersecurity Awareness and Training Program: AT Family, LMS Evidence Integration, and KSI-CED-RAT Activation for FedRAMP 20x</vt:lpwstr>
  </property>
  <property fmtid="{D5CDD505-2E9C-101B-9397-08002B2CF9AE}" pid="14" name="toc-title">
    <vt:lpwstr>Table of contents</vt:lpwstr>
  </property>
</Properties>
</file>