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UIAO</w:t>
      </w:r>
      <w:r>
        <w:t xml:space="preserve"> </w:t>
      </w:r>
      <w:r>
        <w:t xml:space="preserve">Zero</w:t>
      </w:r>
      <w:r>
        <w:t xml:space="preserve"> </w:t>
      </w:r>
      <w:r>
        <w:t xml:space="preserve">Trust</w:t>
      </w:r>
      <w:r>
        <w:t xml:space="preserve"> </w:t>
      </w:r>
      <w:r>
        <w:t xml:space="preserve">Narrative</w:t>
      </w:r>
    </w:p>
    <w:bookmarkStart w:id="20" w:name="uiao-zero-trust-narrative"/>
    <w:p>
      <w:pPr>
        <w:pStyle w:val="Heading1"/>
      </w:pPr>
      <w:r>
        <w:t xml:space="preserve">UIAO Zero Trust Narrative</w:t>
      </w:r>
    </w:p>
    <w:p>
      <w:pPr>
        <w:pStyle w:val="FirstParagraph"/>
      </w:pPr>
      <w:r>
        <w:rPr>
          <w:bCs/>
          <w:b/>
        </w:rPr>
        <w:t xml:space="preserve">Version 1.0</w:t>
      </w:r>
    </w:p>
    <w:p>
      <w:r>
        <w:pict>
          <v:rect style="width:0;height:1.5pt" o:hralign="center" o:hrstd="t" o:hr="t"/>
        </w:pict>
      </w:r>
    </w:p>
    <w:bookmarkEnd w:id="20"/>
    <w:bookmarkStart w:id="21" w:name="zero-trust-imperative"/>
    <w:p>
      <w:pPr>
        <w:pStyle w:val="Heading1"/>
      </w:pPr>
      <w:r>
        <w:t xml:space="preserve">Zero Trust Imperative</w:t>
      </w:r>
    </w:p>
    <w:p>
      <w:pPr>
        <w:pStyle w:val="FirstParagraph"/>
      </w:pPr>
      <w:r>
        <w:t xml:space="preserve">The agency’s current environment is constrained by legacy TIC 2.0 routing patterns that force traffic through centralized bottlenecks, degrading performance and limiting cloud adoption. Identity remains anchored in on-premises Active Directory, creating governance gaps and inconsistent enforcement across divisions. Addressing is fragmented across spreadsheets and disconnected IPAM tools, making it difficult to correlate identity, device, and network activity. Telemetry is incomplete and siloed, preventing conversation-level visibility and limiting the agency’s ability to support INR, E911, or Zero Trust enforcement.</w:t>
      </w:r>
      <w:r>
        <w:t xml:space="preserve"> </w:t>
      </w:r>
      <w:r>
        <w:t xml:space="preserve">These limitations have direct mission impact. M365 performance is degraded by unnecessary hairpinning. Cyber risk increases when identity governance is inconsistent and telemetry is incomplete. Compliance gaps emerge when the agency cannot meet TIC 3.0, FedRAMP 22, or SCuBA expectations. Operational inefficiencies multiply when governance depends on manual tickets instead of automated workflows. Modernization is required to support mission readiness, cyber resilience, and citizen-facing services.</w:t>
      </w:r>
    </w:p>
    <w:p>
      <w:r>
        <w:pict>
          <v:rect style="width:0;height:1.5pt" o:hralign="center" o:hrstd="t" o:hr="t"/>
        </w:pict>
      </w:r>
    </w:p>
    <w:bookmarkEnd w:id="21"/>
    <w:bookmarkStart w:id="22" w:name="identity-as-the-perimeter"/>
    <w:p>
      <w:pPr>
        <w:pStyle w:val="Heading1"/>
      </w:pPr>
      <w:r>
        <w:t xml:space="preserve">Identity as the Perimeter</w:t>
      </w:r>
    </w:p>
    <w:p>
      <w:pPr>
        <w:pStyle w:val="FirstParagraph"/>
      </w:pPr>
      <w:r>
        <w:t xml:space="preserve">The Identity Control Plane is anchored in Entra ID and reinforced by ICAM governance, Conditional Access, Privileged Identity Management, and lifecycle automation. Identity becomes the authoritative source for access, addressing, certificates, and policy.</w:t>
      </w:r>
    </w:p>
    <w:p>
      <w:r>
        <w:pict>
          <v:rect style="width:0;height:1.5pt" o:hralign="center" o:hrstd="t" o:hr="t"/>
        </w:pict>
      </w:r>
    </w:p>
    <w:bookmarkEnd w:id="22"/>
    <w:bookmarkStart w:id="23" w:name="telemetry-as-truth"/>
    <w:p>
      <w:pPr>
        <w:pStyle w:val="Heading1"/>
      </w:pPr>
      <w:r>
        <w:t xml:space="preserve">Telemetry as Truth</w:t>
      </w:r>
    </w:p>
    <w:p>
      <w:pPr>
        <w:pStyle w:val="FirstParagraph"/>
      </w:pPr>
      <w:r>
        <w:t xml:space="preserve">The Telemetry and Location Control Plane consolidates signals from M365, SD-WAN, endpoints, DNS, CDM/CLAW, and SIEM platforms. Telemetry becomes a real-time control input for routing, security, and compliance, enabling conversation-level visibility across the enterprise.</w:t>
      </w:r>
    </w:p>
    <w:p>
      <w:r>
        <w:pict>
          <v:rect style="width:0;height:1.5pt" o:hralign="center" o:hrstd="t" o:hr="t"/>
        </w:pict>
      </w:r>
    </w:p>
    <w:bookmarkEnd w:id="23"/>
    <w:bookmarkStart w:id="24" w:name="governance-as-automation"/>
    <w:p>
      <w:pPr>
        <w:pStyle w:val="Heading1"/>
      </w:pPr>
      <w:r>
        <w:t xml:space="preserve">Governance as Automation</w:t>
      </w:r>
    </w:p>
    <w:p>
      <w:pPr>
        <w:pStyle w:val="FirstParagraph"/>
      </w:pPr>
      <w:r>
        <w:t xml:space="preserve">Governance is executed through orchestrated workflows that enforce policy consistently and reduce operational burden.</w:t>
      </w:r>
    </w:p>
    <w:p>
      <w:r>
        <w:pict>
          <v:rect style="width:0;height:1.5pt" o:hralign="center" o:hrstd="t" o:hr="t"/>
        </w:pict>
      </w:r>
    </w:p>
    <w:bookmarkEnd w:id="24"/>
    <w:bookmarkStart w:id="25" w:name="zero-trust-outcomes"/>
    <w:p>
      <w:pPr>
        <w:pStyle w:val="Heading1"/>
      </w:pPr>
      <w:r>
        <w:t xml:space="preserve">Zero Trust Outcomes</w:t>
      </w:r>
    </w:p>
    <w:p>
      <w:pPr>
        <w:pStyle w:val="FirstParagraph"/>
      </w:pPr>
      <w:r>
        <w:t xml:space="preserve">UIAO delivers measurable improvements across performance, security, compliance, and mission readiness. Cloud-first routing and identity- driven segmentation reduce latency and improve M365 performance. Stronger identity governance and deterministic addressing enhance Zero Trust enforcement. Unified telemetry enables accurate location inference, conversation-level visibility, and real-time decision-making. The architecture aligns the agency with TIC 3.0, FedRAMP 22, and NIST 800-63 requirements, reducing compliance risk. Most importantly, the modernization improves citizen experience by delivering faster, more reliable, and more secure services.</w:t>
      </w:r>
    </w:p>
    <w:p>
      <w:pPr>
        <w:pStyle w:val="BodyText"/>
      </w:pPr>
      <w:r>
        <w:t xml:space="preserve">management_and_governance:</w:t>
      </w:r>
      <w:r>
        <w:t xml:space="preserve"> </w:t>
      </w:r>
      <w:r>
        <w:t xml:space="preserve">narrative: &gt;</w:t>
      </w:r>
      <w:r>
        <w:t xml:space="preserve"> </w:t>
      </w:r>
      <w:r>
        <w:t xml:space="preserve">The Management and Governance layer provides the operational</w:t>
      </w:r>
      <w:r>
        <w:t xml:space="preserve"> </w:t>
      </w:r>
      <w:r>
        <w:t xml:space="preserve">orchestration that binds the five control planes into a continuously</w:t>
      </w:r>
      <w:r>
        <w:t xml:space="preserve"> </w:t>
      </w:r>
      <w:r>
        <w:t xml:space="preserve">governed, auditable system. This layer is distinct from the</w:t>
      </w:r>
      <w:r>
        <w:t xml:space="preserve"> </w:t>
      </w:r>
      <w:r>
        <w:t xml:space="preserve">Transport and Security tools (Cisco, Palo Alto) that move and</w:t>
      </w:r>
      <w:r>
        <w:t xml:space="preserve"> </w:t>
      </w:r>
      <w:r>
        <w:t xml:space="preserve">protect traffic; instead, it focuses on ensuring that the</w:t>
      </w:r>
      <w:r>
        <w:t xml:space="preserve"> </w:t>
      </w:r>
      <w:r>
        <w:t xml:space="preserve">architectural fabric remains compliant, healthy, and aligned with</w:t>
      </w:r>
      <w:r>
        <w:t xml:space="preserve"> </w:t>
      </w:r>
      <w:r>
        <w:t xml:space="preserve">federal mandates over time.</w:t>
      </w:r>
      <w:r>
        <w:t xml:space="preserve"> </w:t>
      </w:r>
      <w:r>
        <w:t xml:space="preserve">servicenow:</w:t>
      </w:r>
      <w:r>
        <w:t xml:space="preserve"> </w:t>
      </w:r>
      <w:r>
        <w:t xml:space="preserve">role:</w:t>
      </w:r>
      <w:r>
        <w:t xml:space="preserve"> </w:t>
      </w:r>
      <w:r>
        <w:t xml:space="preserve">“</w:t>
      </w:r>
      <w:r>
        <w:t xml:space="preserve">System of Record for Overlay Drift</w:t>
      </w:r>
      <w:r>
        <w:t xml:space="preserve">”</w:t>
      </w:r>
      <w:r>
        <w:t xml:space="preserve"> </w:t>
      </w:r>
      <w:r>
        <w:t xml:space="preserve">narrative: &gt;</w:t>
      </w:r>
      <w:r>
        <w:t xml:space="preserve"> </w:t>
      </w:r>
      <w:r>
        <w:t xml:space="preserve">ServiceNow serves as the authoritative system of record for</w:t>
      </w:r>
      <w:r>
        <w:t xml:space="preserve"> </w:t>
      </w:r>
      <w:r>
        <w:t xml:space="preserve">detecting and remediating Overlay Drift within the UIAO</w:t>
      </w:r>
      <w:r>
        <w:t xml:space="preserve"> </w:t>
      </w:r>
      <w:r>
        <w:t xml:space="preserve">architecture. When the Telemetry Control Plane detects</w:t>
      </w:r>
      <w:r>
        <w:t xml:space="preserve"> </w:t>
      </w:r>
      <w:r>
        <w:t xml:space="preserve">configuration deviations in the SD-WAN overlay—such as</w:t>
      </w:r>
      <w:r>
        <w:t xml:space="preserve"> </w:t>
      </w:r>
      <w:r>
        <w:t xml:space="preserve">unauthorized tunnel endpoints, expired certificates, or policy</w:t>
      </w:r>
      <w:r>
        <w:t xml:space="preserve"> </w:t>
      </w:r>
      <w:r>
        <w:t xml:space="preserve">mismatches against the approved baseline in program.yml—</w:t>
      </w:r>
      <w:r>
        <w:t xml:space="preserve"> </w:t>
      </w:r>
      <w:r>
        <w:t xml:space="preserve">ServiceNow automatically generates a Change Request linked to</w:t>
      </w:r>
      <w:r>
        <w:t xml:space="preserve"> </w:t>
      </w:r>
      <w:r>
        <w:t xml:space="preserve">the affected Configuration Item in the CMDB. The automated</w:t>
      </w:r>
      <w:r>
        <w:t xml:space="preserve"> </w:t>
      </w:r>
      <w:r>
        <w:t xml:space="preserve">remediation workflow re-validates the overlay configuration,</w:t>
      </w:r>
      <w:r>
        <w:t xml:space="preserve"> </w:t>
      </w:r>
      <w:r>
        <w:t xml:space="preserve">enforces corrective action, and closes the governance loop by</w:t>
      </w:r>
      <w:r>
        <w:t xml:space="preserve"> </w:t>
      </w:r>
      <w:r>
        <w:t xml:space="preserve">updating the Telemetry Plane with the resolution status. This</w:t>
      </w:r>
      <w:r>
        <w:t xml:space="preserve"> </w:t>
      </w:r>
      <w:r>
        <w:t xml:space="preserve">ensures that the Overlay Plane never drifts from its authorized</w:t>
      </w:r>
      <w:r>
        <w:t xml:space="preserve"> </w:t>
      </w:r>
      <w:r>
        <w:t xml:space="preserve">state without detection, documentation, and remediation.</w:t>
      </w:r>
      <w:r>
        <w:t xml:space="preserve"> </w:t>
      </w:r>
      <w:r>
        <w:t xml:space="preserve">fedramp_class:</w:t>
      </w:r>
      <w:r>
        <w:t xml:space="preserve"> </w:t>
      </w:r>
      <w:r>
        <w:t xml:space="preserve">“</w:t>
      </w:r>
      <w:r>
        <w:t xml:space="preserve">Class C (Moderate)</w:t>
      </w:r>
      <w:r>
        <w:t xml:space="preserve">”</w:t>
      </w:r>
      <w:r>
        <w:t xml:space="preserve"> </w:t>
      </w:r>
      <w:r>
        <w:t xml:space="preserve">nist_controls:</w:t>
      </w:r>
      <w:r>
        <w:t xml:space="preserve"> </w:t>
      </w:r>
      <w:r>
        <w:t xml:space="preserve">-</w:t>
      </w:r>
      <w:r>
        <w:t xml:space="preserve"> </w:t>
      </w:r>
      <w:r>
        <w:t xml:space="preserve">“</w:t>
      </w:r>
      <w:r>
        <w:t xml:space="preserve">IR-4: Incident Handling (Rev 5)</w:t>
      </w:r>
      <w:r>
        <w:t xml:space="preserve">”</w:t>
      </w:r>
      <w:r>
        <w:t xml:space="preserve"> </w:t>
      </w:r>
      <w:r>
        <w:t xml:space="preserve">-</w:t>
      </w:r>
      <w:r>
        <w:t xml:space="preserve"> </w:t>
      </w:r>
      <w:r>
        <w:t xml:space="preserve">“</w:t>
      </w:r>
      <w:r>
        <w:t xml:space="preserve">CA-7: Continuous Monitoring (Rev 5)</w:t>
      </w:r>
      <w:r>
        <w:t xml:space="preserve">”</w:t>
      </w:r>
      <w:r>
        <w:t xml:space="preserve"> </w:t>
      </w:r>
      <w:r>
        <w:t xml:space="preserve">intune:</w:t>
      </w:r>
      <w:r>
        <w:t xml:space="preserve"> </w:t>
      </w:r>
      <w:r>
        <w:t xml:space="preserve">role:</w:t>
      </w:r>
      <w:r>
        <w:t xml:space="preserve"> </w:t>
      </w:r>
      <w:r>
        <w:t xml:space="preserve">“</w:t>
      </w:r>
      <w:r>
        <w:t xml:space="preserve">Identity Plane Device Trust Gatekeeper</w:t>
      </w:r>
      <w:r>
        <w:t xml:space="preserve">”</w:t>
      </w:r>
      <w:r>
        <w:t xml:space="preserve"> </w:t>
      </w:r>
      <w:r>
        <w:t xml:space="preserve">narrative: &gt;</w:t>
      </w:r>
      <w:r>
        <w:t xml:space="preserve"> </w:t>
      </w:r>
      <w:r>
        <w:t xml:space="preserve">Microsoft Intune ensures that the Identity Control Plane only</w:t>
      </w:r>
      <w:r>
        <w:t xml:space="preserve"> </w:t>
      </w:r>
      <w:r>
        <w:t xml:space="preserve">allows healthy, certified devices into the architectural fabric.</w:t>
      </w:r>
      <w:r>
        <w:t xml:space="preserve"> </w:t>
      </w:r>
      <w:r>
        <w:t xml:space="preserve">Before any endpoint is granted access through the Overlay Plane,</w:t>
      </w:r>
      <w:r>
        <w:t xml:space="preserve"> </w:t>
      </w:r>
      <w:r>
        <w:t xml:space="preserve">Intune validates its compliance posture: OS patch level, disk</w:t>
      </w:r>
      <w:r>
        <w:t xml:space="preserve"> </w:t>
      </w:r>
      <w:r>
        <w:t xml:space="preserve">encryption status, EDR agent health, and certificate validity.</w:t>
      </w:r>
      <w:r>
        <w:t xml:space="preserve"> </w:t>
      </w:r>
      <w:r>
        <w:t xml:space="preserve">This compliance signal is consumed by Entra ID Conditional</w:t>
      </w:r>
      <w:r>
        <w:t xml:space="preserve"> </w:t>
      </w:r>
      <w:r>
        <w:t xml:space="preserve">Access, which enforces a device-trust gate at authentication</w:t>
      </w:r>
      <w:r>
        <w:t xml:space="preserve"> </w:t>
      </w:r>
      <w:r>
        <w:t xml:space="preserve">time. Non-compliant devices are quarantined to a restricted VLAN</w:t>
      </w:r>
      <w:r>
        <w:t xml:space="preserve"> </w:t>
      </w:r>
      <w:r>
        <w:t xml:space="preserve">segment managed by Cisco ISE, preventing lateral movement within</w:t>
      </w:r>
      <w:r>
        <w:t xml:space="preserve"> </w:t>
      </w:r>
      <w:r>
        <w:t xml:space="preserve">the fabric. Device trust is not a one-time check but a</w:t>
      </w:r>
      <w:r>
        <w:t xml:space="preserve"> </w:t>
      </w:r>
      <w:r>
        <w:t xml:space="preserve">persistent, real-time control input to the Identity Plane,</w:t>
      </w:r>
      <w:r>
        <w:t xml:space="preserve"> </w:t>
      </w:r>
      <w:r>
        <w:t xml:space="preserve">ensuring continuous compliance with NIST 800-53 Rev 5 AC-19</w:t>
      </w:r>
      <w:r>
        <w:t xml:space="preserve"> </w:t>
      </w:r>
      <w:r>
        <w:t xml:space="preserve">and CM-8 requirements.</w:t>
      </w:r>
      <w:r>
        <w:t xml:space="preserve"> </w:t>
      </w:r>
      <w:r>
        <w:t xml:space="preserve">fedramp_class:</w:t>
      </w:r>
      <w:r>
        <w:t xml:space="preserve"> </w:t>
      </w:r>
      <w:r>
        <w:t xml:space="preserve">“</w:t>
      </w:r>
      <w:r>
        <w:t xml:space="preserve">Class C (Moderate)</w:t>
      </w:r>
      <w:r>
        <w:t xml:space="preserve">”</w:t>
      </w:r>
      <w:r>
        <w:t xml:space="preserve"> </w:t>
      </w:r>
      <w:r>
        <w:t xml:space="preserve">nist_controls:</w:t>
      </w:r>
      <w:r>
        <w:t xml:space="preserve"> </w:t>
      </w:r>
      <w:r>
        <w:t xml:space="preserve">-</w:t>
      </w:r>
      <w:r>
        <w:t xml:space="preserve"> </w:t>
      </w:r>
      <w:r>
        <w:t xml:space="preserve">“</w:t>
      </w:r>
      <w:r>
        <w:t xml:space="preserve">AC-19: Access Control for Mobile Devices (Rev 5)</w:t>
      </w:r>
      <w:r>
        <w:t xml:space="preserve">”</w:t>
      </w:r>
      <w:r>
        <w:t xml:space="preserve"> </w:t>
      </w:r>
      <w:r>
        <w:t xml:space="preserve">-</w:t>
      </w:r>
      <w:r>
        <w:t xml:space="preserve"> </w:t>
      </w:r>
      <w:r>
        <w:t xml:space="preserve">“</w:t>
      </w:r>
      <w:r>
        <w:t xml:space="preserve">CM-8: System Component Inventory (Rev 5)</w:t>
      </w:r>
      <w:r>
        <w:t xml:space="preserve">”</w:t>
      </w:r>
    </w:p>
    <w:p>
      <w:r>
        <w:pict>
          <v:rect style="width:0;height:1.5pt" o:hralign="center" o:hrstd="t" o:hr="t"/>
        </w:pict>
      </w:r>
    </w:p>
    <w:p>
      <w:pPr>
        <w:pStyle w:val="FirstParagraph"/>
      </w:pPr>
      <w:r>
        <w:rPr>
          <w:iCs/>
          <w:i/>
        </w:rPr>
        <w:t xml:space="preserve">End of Zero Trust Narrative v1.0</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UIAO Zero Trust Narrative</dc:title>
  <dc:creator/>
  <cp:keywords/>
  <dcterms:created xsi:type="dcterms:W3CDTF">2026-03-20T14:56:11Z</dcterms:created>
  <dcterms:modified xsi:type="dcterms:W3CDTF">2026-03-20T14:56:11Z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CUI/FOUO</vt:lpwstr>
  </property>
  <property fmtid="{D5CDD505-2E9C-101B-9397-08002B2CF9AE}" pid="3" name="version">
    <vt:lpwstr>1.0</vt:lpwstr>
  </property>
</Properties>
</file>