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color w:val="252525"/>
        </w:rPr>
      </w:pPr>
      <w:bookmarkStart w:colFirst="0" w:colLast="0" w:name="_dx7lgildoj18" w:id="0"/>
      <w:bookmarkEnd w:id="0"/>
      <w:r w:rsidDel="00000000" w:rsidR="00000000" w:rsidRPr="00000000">
        <w:rPr>
          <w:rtl w:val="0"/>
        </w:rPr>
        <w:t xml:space="preserve">Exploring characteristic features in gait patterns for predicting multiple sclerosis. </w:t>
      </w:r>
      <w:r w:rsidDel="00000000" w:rsidR="00000000" w:rsidRPr="00000000">
        <w:rPr>
          <w:color w:val="252525"/>
          <w:rtl w:val="0"/>
        </w:rPr>
        <w:t xml:space="preserve">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https://ieeexplore.ieee.org/stamp/stamp.jsp?tp=&amp;arnumber=8857604</w:t>
        </w:r>
      </w:hyperlink>
      <w:r w:rsidDel="00000000" w:rsidR="00000000" w:rsidRPr="00000000">
        <w:rPr>
          <w:color w:val="252525"/>
          <w:rtl w:val="0"/>
        </w:rPr>
        <w:t xml:space="preserve">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color w:val="25252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52525"/>
          <w:sz w:val="24"/>
          <w:szCs w:val="24"/>
          <w:highlight w:val="white"/>
          <w:rtl w:val="0"/>
        </w:rPr>
        <w:t xml:space="preserve">Looked at gait analysis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color w:val="25252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52525"/>
          <w:sz w:val="24"/>
          <w:szCs w:val="24"/>
          <w:highlight w:val="white"/>
          <w:rtl w:val="0"/>
        </w:rPr>
        <w:t xml:space="preserve">Previous findings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  <w:color w:val="25252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52525"/>
          <w:sz w:val="24"/>
          <w:szCs w:val="24"/>
          <w:highlight w:val="white"/>
          <w:rtl w:val="0"/>
        </w:rPr>
        <w:t xml:space="preserve">MS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rFonts w:ascii="Trebuchet MS" w:cs="Trebuchet MS" w:eastAsia="Trebuchet MS" w:hAnsi="Trebuchet MS"/>
          <w:color w:val="25252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52525"/>
          <w:sz w:val="24"/>
          <w:szCs w:val="24"/>
          <w:highlight w:val="white"/>
          <w:rtl w:val="0"/>
        </w:rPr>
        <w:t xml:space="preserve">Reduced stride length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rFonts w:ascii="Trebuchet MS" w:cs="Trebuchet MS" w:eastAsia="Trebuchet MS" w:hAnsi="Trebuchet MS"/>
          <w:color w:val="25252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52525"/>
          <w:sz w:val="24"/>
          <w:szCs w:val="24"/>
          <w:highlight w:val="white"/>
          <w:rtl w:val="0"/>
        </w:rPr>
        <w:t xml:space="preserve">2x gait variability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Trebuchet MS" w:cs="Trebuchet MS" w:eastAsia="Trebuchet MS" w:hAnsi="Trebuchet MS"/>
          <w:color w:val="25252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52525"/>
          <w:sz w:val="24"/>
          <w:szCs w:val="24"/>
          <w:highlight w:val="white"/>
          <w:rtl w:val="0"/>
        </w:rPr>
        <w:t xml:space="preserve">Slower walking speed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Trebuchet MS" w:cs="Trebuchet MS" w:eastAsia="Trebuchet MS" w:hAnsi="Trebuchet MS"/>
          <w:color w:val="25252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52525"/>
          <w:sz w:val="24"/>
          <w:szCs w:val="24"/>
          <w:highlight w:val="white"/>
          <w:rtl w:val="0"/>
        </w:rPr>
        <w:t xml:space="preserve">Increased self rated fatigue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color w:val="25252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52525"/>
          <w:sz w:val="24"/>
          <w:szCs w:val="24"/>
          <w:highlight w:val="white"/>
          <w:rtl w:val="0"/>
        </w:rPr>
        <w:t xml:space="preserve">Experimental setup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  <w:color w:val="25252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52525"/>
          <w:sz w:val="24"/>
          <w:szCs w:val="24"/>
          <w:highlight w:val="white"/>
          <w:rtl w:val="0"/>
        </w:rPr>
        <w:t xml:space="preserve">Participants walked on treadmill at comfortable pace for 90s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  <w:color w:val="25252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52525"/>
          <w:sz w:val="24"/>
          <w:szCs w:val="24"/>
          <w:highlight w:val="white"/>
          <w:rtl w:val="0"/>
        </w:rPr>
        <w:t xml:space="preserve">Treadmill force sensors used to collect data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color w:val="25252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52525"/>
          <w:sz w:val="24"/>
          <w:szCs w:val="24"/>
          <w:highlight w:val="white"/>
          <w:rtl w:val="0"/>
        </w:rPr>
        <w:t xml:space="preserve">Results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  <w:color w:val="25252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52525"/>
          <w:sz w:val="24"/>
          <w:szCs w:val="24"/>
          <w:highlight w:val="white"/>
          <w:rtl w:val="0"/>
        </w:rPr>
        <w:t xml:space="preserve">18% reduction in step length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  <w:color w:val="25252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52525"/>
          <w:sz w:val="24"/>
          <w:szCs w:val="24"/>
          <w:highlight w:val="white"/>
          <w:rtl w:val="0"/>
        </w:rPr>
        <w:t xml:space="preserve">20% reduction in gait speed (not statistically significant, p = 0.06)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  <w:color w:val="25252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52525"/>
          <w:sz w:val="24"/>
          <w:szCs w:val="24"/>
          <w:highlight w:val="white"/>
          <w:rtl w:val="0"/>
        </w:rPr>
        <w:t xml:space="preserve">Step width, stride time, single support time had no significant differences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  <w:color w:val="25252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52525"/>
          <w:sz w:val="24"/>
          <w:szCs w:val="24"/>
          <w:highlight w:val="white"/>
          <w:rtl w:val="0"/>
        </w:rPr>
        <w:t xml:space="preserve">Footsteps divided into light, average, heavy categories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  <w:color w:val="25252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52525"/>
          <w:sz w:val="24"/>
          <w:szCs w:val="24"/>
          <w:highlight w:val="white"/>
          <w:rtl w:val="0"/>
        </w:rPr>
        <w:t xml:space="preserve">MS patients had higher proportion of light steps and lower proportion of heavy steps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color w:val="25252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52525"/>
          <w:sz w:val="24"/>
          <w:szCs w:val="24"/>
          <w:highlight w:val="white"/>
          <w:rtl w:val="0"/>
        </w:rPr>
        <w:t xml:space="preserve">Main takeaways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  <w:color w:val="25252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52525"/>
          <w:sz w:val="24"/>
          <w:szCs w:val="24"/>
          <w:highlight w:val="white"/>
          <w:rtl w:val="0"/>
        </w:rPr>
        <w:t xml:space="preserve">Horizontal displacement, proportion of light/heavy steps are possible features</w:t>
      </w:r>
    </w:p>
    <w:p w:rsidR="00000000" w:rsidDel="00000000" w:rsidP="00000000" w:rsidRDefault="00000000" w:rsidRPr="00000000" w14:paraId="00000014">
      <w:pPr>
        <w:rPr>
          <w:rFonts w:ascii="Trebuchet MS" w:cs="Trebuchet MS" w:eastAsia="Trebuchet MS" w:hAnsi="Trebuchet MS"/>
          <w:color w:val="2525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x5yke8eacr4u" w:id="1"/>
      <w:bookmarkEnd w:id="1"/>
      <w:r w:rsidDel="00000000" w:rsidR="00000000" w:rsidRPr="00000000">
        <w:rPr>
          <w:rtl w:val="0"/>
        </w:rPr>
        <w:t xml:space="preserve">Wearable Sensor Technologies to Assess Motor Functions in People With Multiple Sclerosis: Systematic Scoping Review and Perspective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https://www.jmir.org/2023/1/e44428/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Accelerometers were most common type of sensor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 domains measured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Functional domain of physical activity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Gait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dexterity/tremor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Balance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Paper doesn’t seem to mention specific features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2sk7qhdb02qu" w:id="2"/>
      <w:bookmarkEnd w:id="2"/>
      <w:r w:rsidDel="00000000" w:rsidR="00000000" w:rsidRPr="00000000">
        <w:rPr>
          <w:rtl w:val="0"/>
        </w:rPr>
        <w:t xml:space="preserve">Body-worn motion sensors detect balance and gait deficits in people with multiple sclerosis who have normal walking speed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https://www.sciencedirect.com/science/article/pii/S0966636211007946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Gait and balanced are measured subjectively currently - not good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Timed 25 foot walk - easy to use, 20% change required to be significant, low sensitivity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Experimental setup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Timed 25 foot walk - walk 25 feet as fast and as safely as possible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Timed up and go - get up from chair, walk 7 feet, then return to chair as quickly as possible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 locations: ankle, wrist, upper trunk, lumbar trunk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Wrist sensors Xsens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Located on dorsum 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Measured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Arm swing peak speed degrees/s p = 0.57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Arm swing swing variability % p = 0.6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Arm swing range of motion degrees p = 0.76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Angular trunk range of motion significantly larger in MS than controls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wqj8cg98cyp0" w:id="3"/>
      <w:bookmarkEnd w:id="3"/>
      <w:r w:rsidDel="00000000" w:rsidR="00000000" w:rsidRPr="00000000">
        <w:rPr>
          <w:rtl w:val="0"/>
        </w:rPr>
        <w:t xml:space="preserve">Accelerometry Reveals Differences in Gait Variability Between Patients with Multiple Sclerosis and Healthy Controls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https://link.springer.com/article/10.1007/s10439-012-0697-y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Previous research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Sosnoff et al</w:t>
      </w:r>
    </w:p>
    <w:p w:rsidR="00000000" w:rsidDel="00000000" w:rsidP="00000000" w:rsidRDefault="00000000" w:rsidRPr="00000000" w14:paraId="00000034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Greater variability in time between steps</w:t>
      </w:r>
    </w:p>
    <w:p w:rsidR="00000000" w:rsidDel="00000000" w:rsidP="00000000" w:rsidRDefault="00000000" w:rsidRPr="00000000" w14:paraId="00000035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More variability in single support percent differences</w:t>
      </w:r>
    </w:p>
    <w:p w:rsidR="00000000" w:rsidDel="00000000" w:rsidP="00000000" w:rsidRDefault="00000000" w:rsidRPr="00000000" w14:paraId="00000036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More variability in step width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study aimed to measure the above factors with upper body sensors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Experimental setup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100 ft straight walk down hallway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 sensors</w:t>
      </w:r>
    </w:p>
    <w:p w:rsidR="00000000" w:rsidDel="00000000" w:rsidP="00000000" w:rsidRDefault="00000000" w:rsidRPr="00000000" w14:paraId="0000003B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Sternum, posterior trunk, left/right wrist, right/left lower shank</w:t>
      </w:r>
    </w:p>
    <w:p w:rsidR="00000000" w:rsidDel="00000000" w:rsidP="00000000" w:rsidRDefault="00000000" w:rsidRPr="00000000" w14:paraId="0000003C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sternum/lumbar sensors for trunk motion</w:t>
      </w:r>
    </w:p>
    <w:p w:rsidR="00000000" w:rsidDel="00000000" w:rsidP="00000000" w:rsidRDefault="00000000" w:rsidRPr="00000000" w14:paraId="0000003D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Shank sensors for stride 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Findings</w:t>
      </w:r>
    </w:p>
    <w:p w:rsidR="00000000" w:rsidDel="00000000" w:rsidP="00000000" w:rsidRDefault="00000000" w:rsidRPr="00000000" w14:paraId="0000003F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MedioLateral frequency dispersion greater than controls, AnteroPosterior RMS was lower than in controls for trunk</w:t>
      </w:r>
    </w:p>
    <w:p w:rsidR="00000000" w:rsidDel="00000000" w:rsidP="00000000" w:rsidRDefault="00000000" w:rsidRPr="00000000" w14:paraId="00000040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Acceleration of trunk had greater divergence (LyE?) in both ML and AP</w:t>
      </w:r>
    </w:p>
    <w:p w:rsidR="00000000" w:rsidDel="00000000" w:rsidP="00000000" w:rsidRDefault="00000000" w:rsidRPr="00000000" w14:paraId="00000041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difference in stride velocity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80% of PwMS report problems with spasticity </w:t>
      </w:r>
    </w:p>
    <w:p w:rsidR="00000000" w:rsidDel="00000000" w:rsidP="00000000" w:rsidRDefault="00000000" w:rsidRPr="00000000" w14:paraId="00000043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Velocity dependent increased tonic stretch, exaggerated tendon jerks, might explain greater ML divergence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2jos7px5sbb9" w:id="4"/>
      <w:bookmarkEnd w:id="4"/>
      <w:r w:rsidDel="00000000" w:rsidR="00000000" w:rsidRPr="00000000">
        <w:rPr>
          <w:rtl w:val="0"/>
        </w:rPr>
        <w:t xml:space="preserve">Physical Activity Recognition of Elderly People and People with Parkinson’s (PwP) during Standard Mobility Tests using Wearable Sensors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https://ieeexplore.ieee.org/stamp/stamp.jsp?arnumber=8090858&amp;tag=1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 was to use ML trained on accelerometer data to identify different activities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Done with parkinson’s data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Selected features, individual and concurrent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Mean, Autocorrelation, Power Spectral Density, Spectral power, entropy, 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217678" cy="18983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7678" cy="1898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Conclusions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gyroscope + accelerometer increases accuracy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LogitBoost has highest accuracy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mtugwlyicbjd" w:id="5"/>
      <w:bookmarkEnd w:id="5"/>
      <w:r w:rsidDel="00000000" w:rsidR="00000000" w:rsidRPr="00000000">
        <w:rPr>
          <w:rtl w:val="0"/>
        </w:rPr>
        <w:t xml:space="preserve">Postural Response Latencies Are Related to Balance Control During Standing and Walking in Patients With Multiple Sclerosis</w:t>
      </w:r>
    </w:p>
    <w:p w:rsidR="00000000" w:rsidDel="00000000" w:rsidP="00000000" w:rsidRDefault="00000000" w:rsidRPr="00000000" w14:paraId="0000005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https://www.sciencedirect.com/science/article/pii/S0003999314000276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Looked at postural response latencies in relation to balance dysfunction during standing and walking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Experimental setup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“translating platform” 4cm/sec</w:t>
      </w:r>
    </w:p>
    <w:p w:rsidR="00000000" w:rsidDel="00000000" w:rsidP="00000000" w:rsidRDefault="00000000" w:rsidRPr="00000000" w14:paraId="00000056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Requires participants to move to stay balanced without stepping</w:t>
      </w:r>
    </w:p>
    <w:p w:rsidR="00000000" w:rsidDel="00000000" w:rsidP="00000000" w:rsidRDefault="00000000" w:rsidRPr="00000000" w14:paraId="00000057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Measured response time from platform moving to activation in tibialis anterior (lower leg muscle)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Walking</w:t>
      </w:r>
    </w:p>
    <w:p w:rsidR="00000000" w:rsidDel="00000000" w:rsidP="00000000" w:rsidRDefault="00000000" w:rsidRPr="00000000" w14:paraId="00000059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Sensors located on sternum, trunk, lumbar, wrists</w:t>
      </w:r>
    </w:p>
    <w:p w:rsidR="00000000" w:rsidDel="00000000" w:rsidP="00000000" w:rsidRDefault="00000000" w:rsidRPr="00000000" w14:paraId="0000005A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Features examined</w:t>
      </w:r>
    </w:p>
    <w:p w:rsidR="00000000" w:rsidDel="00000000" w:rsidP="00000000" w:rsidRDefault="00000000" w:rsidRPr="00000000" w14:paraId="0000005B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Trunk pitch, yaw, roll range of motion + standard deviations</w:t>
      </w:r>
    </w:p>
    <w:p w:rsidR="00000000" w:rsidDel="00000000" w:rsidP="00000000" w:rsidRDefault="00000000" w:rsidRPr="00000000" w14:paraId="0000005C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Mean peak horizontal and sagittal (front to back?) velocity</w:t>
      </w:r>
    </w:p>
    <w:p w:rsidR="00000000" w:rsidDel="00000000" w:rsidP="00000000" w:rsidRDefault="00000000" w:rsidRPr="00000000" w14:paraId="0000005D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SD of peak horizontal and angular velocity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Unsure how these features were taken from wrist accelerometers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uwcjrfx9cl8g" w:id="6"/>
      <w:bookmarkEnd w:id="6"/>
      <w:r w:rsidDel="00000000" w:rsidR="00000000" w:rsidRPr="00000000">
        <w:rPr>
          <w:rtl w:val="0"/>
        </w:rPr>
        <w:t xml:space="preserve">Use of wrist-worn accelerometers to quantify bilateral upper limb activity and asymmetry under free-living conditions in people with multiple sclerosis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https://www.sciencedirect.com/science/article/pii/S2211034821003485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Wrist worn triaxial accelerometers for 2 days in free living conditions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Integrated dominance as a factor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Experimental setup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Box and Block test(?) for dexterity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days of normal daily activities, sensors worn 24/7 except for water based activities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Triaxial data was converted into resultant vector 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6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Sum of resultant vector (VM) for each limb - bilateral magnitude</w:t>
      </w:r>
    </w:p>
    <w:p w:rsidR="00000000" w:rsidDel="00000000" w:rsidP="00000000" w:rsidRDefault="00000000" w:rsidRPr="00000000" w14:paraId="0000006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Minutes of use - time VM is &gt; 0</w:t>
      </w:r>
    </w:p>
    <w:p w:rsidR="00000000" w:rsidDel="00000000" w:rsidP="00000000" w:rsidRDefault="00000000" w:rsidRPr="00000000" w14:paraId="0000006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ratio - ratio of time of VM&gt;0 between sides, ignores intensity</w:t>
      </w:r>
    </w:p>
    <w:p w:rsidR="00000000" w:rsidDel="00000000" w:rsidP="00000000" w:rsidRDefault="00000000" w:rsidRPr="00000000" w14:paraId="0000006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Magnitude ratio - natural log of VM counts</w:t>
      </w:r>
    </w:p>
    <w:p w:rsidR="00000000" w:rsidDel="00000000" w:rsidP="00000000" w:rsidRDefault="00000000" w:rsidRPr="00000000" w14:paraId="0000006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Mono arm use index - sum of magnitude of independent movements (only one arm active) for each arm, can quantify frequency frequency of independent movement in activities</w:t>
      </w:r>
    </w:p>
    <w:p w:rsidR="00000000" w:rsidDel="00000000" w:rsidP="00000000" w:rsidRDefault="00000000" w:rsidRPr="00000000" w14:paraId="0000006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Bilateral arm use index - same as mono arm use index but with both arms active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Asymmetry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Reduced upper limb activity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Dominant hand used more often in MS than unaffected people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Dominant hand provides more force when both arms are active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rebuchet MS" w:cs="Trebuchet MS" w:eastAsia="Trebuchet MS" w:hAnsi="Trebuchet MS"/>
          <w:color w:val="2525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25252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ieeexplore.ieee.org/stamp/stamp.jsp?arnumber=8090858&amp;tag=1" TargetMode="External"/><Relationship Id="rId13" Type="http://schemas.openxmlformats.org/officeDocument/2006/relationships/hyperlink" Target="https://www.sciencedirect.com/science/article/pii/S2211034821003485" TargetMode="External"/><Relationship Id="rId12" Type="http://schemas.openxmlformats.org/officeDocument/2006/relationships/hyperlink" Target="https://www.sciencedirect.com/science/article/pii/S000399931400027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nk.springer.com/article/10.1007/s10439-012-0697-y" TargetMode="External"/><Relationship Id="rId5" Type="http://schemas.openxmlformats.org/officeDocument/2006/relationships/styles" Target="styles.xml"/><Relationship Id="rId6" Type="http://schemas.openxmlformats.org/officeDocument/2006/relationships/hyperlink" Target="https://ieeexplore.ieee.org/stamp/stamp.jsp?tp=&amp;arnumber=8857604" TargetMode="External"/><Relationship Id="rId7" Type="http://schemas.openxmlformats.org/officeDocument/2006/relationships/hyperlink" Target="https://www.jmir.org/2023/1/e44428/" TargetMode="External"/><Relationship Id="rId8" Type="http://schemas.openxmlformats.org/officeDocument/2006/relationships/hyperlink" Target="https://www.sciencedirect.com/science/article/pii/S09666362110079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