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3864"/>
          <w:sz w:val="36"/>
          <w:szCs w:val="36"/>
        </w:rPr>
        <w:t xml:space="preserve">MEDICAL CHRONOLOGY</w:t>
      </w:r>
    </w:p>
    <w:p>
      <w:pPr>
        <w:spacing w:after="40"/>
        <w:jc w:val="center"/>
      </w:pPr>
      <w:r>
        <w:rPr>
          <w:rFonts w:ascii="Arial" w:cs="Arial" w:eastAsia="Arial" w:hAnsi="Arial"/>
          <w:b/>
          <w:bCs/>
          <w:color w:val="2E74B5"/>
          <w:sz w:val="28"/>
          <w:szCs w:val="28"/>
        </w:rPr>
        <w:t xml:space="preserve">Greg Neltner</w:t>
      </w:r>
    </w:p>
    <w:p>
      <w:pPr>
        <w:spacing w:after="200"/>
        <w:jc w:val="center"/>
      </w:pPr>
      <w:r>
        <w:rPr>
          <w:rFonts w:ascii="Arial" w:cs="Arial" w:eastAsia="Arial" w:hAnsi="Arial"/>
          <w:color w:val="666666"/>
          <w:sz w:val="18"/>
          <w:szCs w:val="18"/>
        </w:rPr>
        <w:t xml:space="preserve">Neltner v. Cohara | Boone Circuit 24-CI-00452 | DOI: April 1, 2023</w:t>
      </w:r>
    </w:p>
    <w:p>
      <w:pPr>
        <w:pStyle w:val="Heading1"/>
      </w:pPr>
      <w:r>
        <w:t xml:space="preserve">Case Summary</w:t>
      </w:r>
    </w:p>
    <w:p>
      <w:pPr>
        <w:spacing w:after="100"/>
      </w:pPr>
      <w:r>
        <w:rPr>
          <w:rFonts w:ascii="Arial" w:cs="Arial" w:eastAsia="Arial" w:hAnsi="Arial"/>
          <w:sz w:val="19"/>
          <w:szCs w:val="19"/>
        </w:rPr>
        <w:t xml:space="preserve">On April 1, 2023, Greg Neltner (age 52 at time of accident) was driving eastbound on Burlington Pike (KY 18) in Florence, Kentucky when defendant Trinity Cohara cut across multiple lanes of traffic and collided with his vehicle. Police cited Cohara for inattention, failing to keep proper lane, and failing to yield right of way. Mr. Neltner declined ambulance transport at the scene but experienced significant pain in his head, neck, and back in the following days, prompting him to seek chiropractic treatment.</w:t>
      </w:r>
    </w:p>
    <w:p>
      <w:pPr>
        <w:pStyle w:val="Heading1"/>
      </w:pPr>
      <w:r>
        <w:t xml:space="preserve">Diagnoses</w:t>
      </w:r>
    </w:p>
    <w:p>
      <w:pPr>
        <w:pStyle w:val="ListParagraph"/>
        <w:numPr>
          <w:ilvl w:val="0"/>
          <w:numId w:val="2"/>
        </w:numPr>
      </w:pPr>
      <w:r>
        <w:rPr>
          <w:rFonts w:ascii="Arial" w:cs="Arial" w:eastAsia="Arial" w:hAnsi="Arial"/>
          <w:sz w:val="19"/>
          <w:szCs w:val="19"/>
        </w:rPr>
        <w:t xml:space="preserve">S13.4xxA — Cervical sprain (initial encounter)</w:t>
      </w:r>
    </w:p>
    <w:p>
      <w:pPr>
        <w:pStyle w:val="ListParagraph"/>
        <w:numPr>
          <w:ilvl w:val="0"/>
          <w:numId w:val="2"/>
        </w:numPr>
      </w:pPr>
      <w:r>
        <w:rPr>
          <w:rFonts w:ascii="Arial" w:cs="Arial" w:eastAsia="Arial" w:hAnsi="Arial"/>
          <w:sz w:val="19"/>
          <w:szCs w:val="19"/>
        </w:rPr>
        <w:t xml:space="preserve">M99.01 — Segmental and somatic dysfunction of cervical region</w:t>
      </w:r>
    </w:p>
    <w:p>
      <w:pPr>
        <w:pStyle w:val="ListParagraph"/>
        <w:numPr>
          <w:ilvl w:val="0"/>
          <w:numId w:val="2"/>
        </w:numPr>
      </w:pPr>
      <w:r>
        <w:rPr>
          <w:rFonts w:ascii="Arial" w:cs="Arial" w:eastAsia="Arial" w:hAnsi="Arial"/>
          <w:sz w:val="19"/>
          <w:szCs w:val="19"/>
        </w:rPr>
        <w:t xml:space="preserve">S23.3xxA — Thoracic sprain (initial encounter)</w:t>
      </w:r>
    </w:p>
    <w:p>
      <w:pPr>
        <w:pStyle w:val="ListParagraph"/>
        <w:numPr>
          <w:ilvl w:val="0"/>
          <w:numId w:val="2"/>
        </w:numPr>
      </w:pPr>
      <w:r>
        <w:rPr>
          <w:rFonts w:ascii="Arial" w:cs="Arial" w:eastAsia="Arial" w:hAnsi="Arial"/>
          <w:sz w:val="19"/>
          <w:szCs w:val="19"/>
        </w:rPr>
        <w:t xml:space="preserve">M99.02 — Segmental and somatic dysfunction of thoracic region</w:t>
      </w:r>
    </w:p>
    <w:p>
      <w:pPr>
        <w:pStyle w:val="ListParagraph"/>
        <w:numPr>
          <w:ilvl w:val="0"/>
          <w:numId w:val="2"/>
        </w:numPr>
      </w:pPr>
      <w:r>
        <w:rPr>
          <w:rFonts w:ascii="Arial" w:cs="Arial" w:eastAsia="Arial" w:hAnsi="Arial"/>
          <w:sz w:val="19"/>
          <w:szCs w:val="19"/>
        </w:rPr>
        <w:t xml:space="preserve">S33.5xxA — Lumbar sprain (initial encounter)</w:t>
      </w:r>
    </w:p>
    <w:p>
      <w:pPr>
        <w:pStyle w:val="ListParagraph"/>
        <w:numPr>
          <w:ilvl w:val="0"/>
          <w:numId w:val="2"/>
        </w:numPr>
        <w:spacing w:after="100"/>
      </w:pPr>
      <w:r>
        <w:rPr>
          <w:rFonts w:ascii="Arial" w:cs="Arial" w:eastAsia="Arial" w:hAnsi="Arial"/>
          <w:sz w:val="19"/>
          <w:szCs w:val="19"/>
        </w:rPr>
        <w:t xml:space="preserve">M99.03 — Segmental and somatic dysfunction of lumbar region</w:t>
      </w:r>
    </w:p>
    <w:p>
      <w:pPr>
        <w:pStyle w:val="Heading1"/>
      </w:pPr>
      <w:r>
        <w:t xml:space="preserve">Treating Providers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999999" w:sz="1"/>
              <w:left w:val="single" w:color="999999" w:sz="1"/>
              <w:bottom w:val="single" w:color="999999" w:sz="1"/>
              <w:right w:val="single" w:color="999999" w:sz="1"/>
            </w:tcBorders>
            <w:shd w:fill="1F3864" w:val="clear"/>
          </w:tcPr>
          <w:p>
            <w:pPr>
              <w:spacing w:after="60" w:before="60"/>
              <w:jc w:val="center"/>
            </w:pPr>
            <w:r>
              <w:rPr>
                <w:rFonts w:ascii="Arial" w:cs="Arial" w:eastAsia="Arial" w:hAnsi="Arial"/>
                <w:b/>
                <w:bCs/>
                <w:color w:val="FFFFFF"/>
                <w:sz w:val="18"/>
                <w:szCs w:val="18"/>
              </w:rPr>
              <w:t xml:space="preserve">Provider</w:t>
            </w:r>
          </w:p>
        </w:tc>
        <w:tc>
          <w:tcPr>
            <w:tcW w:type="dxa" w:w="3200"/>
            <w:tcBorders>
              <w:top w:val="single" w:color="999999" w:sz="1"/>
              <w:left w:val="single" w:color="999999" w:sz="1"/>
              <w:bottom w:val="single" w:color="999999" w:sz="1"/>
              <w:right w:val="single" w:color="999999" w:sz="1"/>
            </w:tcBorders>
            <w:shd w:fill="1F3864" w:val="clear"/>
          </w:tcPr>
          <w:p>
            <w:pPr>
              <w:spacing w:after="60" w:before="60"/>
              <w:jc w:val="center"/>
            </w:pPr>
            <w:r>
              <w:rPr>
                <w:rFonts w:ascii="Arial" w:cs="Arial" w:eastAsia="Arial" w:hAnsi="Arial"/>
                <w:b/>
                <w:bCs/>
                <w:color w:val="FFFFFF"/>
                <w:sz w:val="18"/>
                <w:szCs w:val="18"/>
              </w:rPr>
              <w:t xml:space="preserve">Address</w:t>
            </w:r>
          </w:p>
        </w:tc>
        <w:tc>
          <w:tcPr>
            <w:tcW w:type="dxa" w:w="2960"/>
            <w:tcBorders>
              <w:top w:val="single" w:color="999999" w:sz="1"/>
              <w:left w:val="single" w:color="999999" w:sz="1"/>
              <w:bottom w:val="single" w:color="999999" w:sz="1"/>
              <w:right w:val="single" w:color="999999" w:sz="1"/>
            </w:tcBorders>
            <w:shd w:fill="1F3864" w:val="clear"/>
          </w:tcPr>
          <w:p>
            <w:pPr>
              <w:spacing w:after="60" w:before="60"/>
              <w:jc w:val="center"/>
            </w:pPr>
            <w:r>
              <w:rPr>
                <w:rFonts w:ascii="Arial" w:cs="Arial" w:eastAsia="Arial" w:hAnsi="Arial"/>
                <w:b/>
                <w:bCs/>
                <w:color w:val="FFFFFF"/>
                <w:sz w:val="18"/>
                <w:szCs w:val="18"/>
              </w:rPr>
              <w:t xml:space="preserve">Treatment Dates</w:t>
            </w:r>
          </w:p>
        </w:tc>
      </w:tr>
      <w:tr>
        <w:tc>
          <w:tcPr>
            <w:tcW w:type="dxa" w:w="3200"/>
            <w:tcBorders>
              <w:top w:val="single" w:color="999999" w:sz="1"/>
              <w:left w:val="single" w:color="999999" w:sz="1"/>
              <w:bottom w:val="single" w:color="999999" w:sz="1"/>
              <w:right w:val="single" w:color="999999" w:sz="1"/>
            </w:tcBorders>
            <w:shd w:fill="FFFFFF" w:val="clear"/>
          </w:tcPr>
          <w:p>
            <w:pPr>
              <w:spacing w:after="0" w:before="40"/>
              <w:ind w:left="60"/>
            </w:pPr>
            <w:r>
              <w:rPr>
                <w:rFonts w:ascii="Arial" w:cs="Arial" w:eastAsia="Arial" w:hAnsi="Arial"/>
                <w:b/>
                <w:bCs/>
                <w:sz w:val="18"/>
                <w:szCs w:val="18"/>
              </w:rPr>
              <w:t xml:space="preserve">Southgate Chiropractic</w:t>
            </w:r>
          </w:p>
          <w:p>
            <w:pPr>
              <w:spacing w:after="40" w:before="0"/>
              <w:ind w:left="60"/>
            </w:pPr>
            <w:r>
              <w:rPr>
                <w:rFonts w:ascii="Arial" w:cs="Arial" w:eastAsia="Arial" w:hAnsi="Arial"/>
                <w:color w:val="666666"/>
                <w:sz w:val="17"/>
                <w:szCs w:val="17"/>
              </w:rPr>
              <w:t xml:space="preserve">Dr. Roger C. Jones, D.C.</w:t>
            </w:r>
          </w:p>
        </w:tc>
        <w:tc>
          <w:tcPr>
            <w:tcW w:type="dxa" w:w="3200"/>
            <w:tcBorders>
              <w:top w:val="single" w:color="999999" w:sz="1"/>
              <w:left w:val="single" w:color="999999" w:sz="1"/>
              <w:bottom w:val="single" w:color="999999" w:sz="1"/>
              <w:right w:val="single" w:color="999999" w:sz="1"/>
            </w:tcBorders>
            <w:shd w:fill="FFFFFF" w:val="clear"/>
          </w:tcPr>
          <w:p>
            <w:pPr>
              <w:spacing w:after="40" w:before="40"/>
              <w:ind w:left="60"/>
            </w:pPr>
            <w:r>
              <w:rPr>
                <w:rFonts w:ascii="Arial" w:cs="Arial" w:eastAsia="Arial" w:hAnsi="Arial"/>
                <w:sz w:val="17"/>
                <w:szCs w:val="17"/>
              </w:rPr>
              <w:t xml:space="preserve">2306 Alexandria Pike, Southgate, KY 41071</w:t>
            </w:r>
          </w:p>
        </w:tc>
        <w:tc>
          <w:tcPr>
            <w:tcW w:type="dxa" w:w="2960"/>
            <w:tcBorders>
              <w:top w:val="single" w:color="999999" w:sz="1"/>
              <w:left w:val="single" w:color="999999" w:sz="1"/>
              <w:bottom w:val="single" w:color="999999" w:sz="1"/>
              <w:right w:val="single" w:color="999999" w:sz="1"/>
            </w:tcBorders>
            <w:shd w:fill="FFFFFF" w:val="clear"/>
          </w:tcPr>
          <w:p>
            <w:pPr>
              <w:spacing w:after="40" w:before="40"/>
              <w:ind w:left="60"/>
            </w:pPr>
            <w:r>
              <w:rPr>
                <w:rFonts w:ascii="Arial" w:cs="Arial" w:eastAsia="Arial" w:hAnsi="Arial"/>
                <w:sz w:val="17"/>
                <w:szCs w:val="17"/>
              </w:rPr>
              <w:t xml:space="preserve">04/12/2023 – 04/03/2024</w:t>
            </w:r>
          </w:p>
        </w:tc>
      </w:tr>
      <w:tr>
        <w:tc>
          <w:tcPr>
            <w:tcW w:type="dxa" w:w="3200"/>
            <w:tcBorders>
              <w:top w:val="single" w:color="999999" w:sz="1"/>
              <w:left w:val="single" w:color="999999" w:sz="1"/>
              <w:bottom w:val="single" w:color="999999" w:sz="1"/>
              <w:right w:val="single" w:color="999999" w:sz="1"/>
            </w:tcBorders>
            <w:shd w:fill="F2F2F2" w:val="clear"/>
          </w:tcPr>
          <w:p>
            <w:pPr>
              <w:spacing w:after="40" w:before="40"/>
              <w:ind w:left="60"/>
            </w:pPr>
            <w:r>
              <w:rPr>
                <w:rFonts w:ascii="Arial" w:cs="Arial" w:eastAsia="Arial" w:hAnsi="Arial"/>
                <w:b/>
                <w:bCs/>
                <w:sz w:val="18"/>
                <w:szCs w:val="18"/>
              </w:rPr>
              <w:t xml:space="preserve">St. Elizabeth Physicians Primary Care</w:t>
            </w:r>
          </w:p>
        </w:tc>
        <w:tc>
          <w:tcPr>
            <w:tcW w:type="dxa" w:w="3200"/>
            <w:tcBorders>
              <w:top w:val="single" w:color="999999" w:sz="1"/>
              <w:left w:val="single" w:color="999999" w:sz="1"/>
              <w:bottom w:val="single" w:color="999999" w:sz="1"/>
              <w:right w:val="single" w:color="999999" w:sz="1"/>
            </w:tcBorders>
            <w:shd w:fill="F2F2F2" w:val="clear"/>
          </w:tcPr>
          <w:p>
            <w:pPr>
              <w:spacing w:after="40" w:before="40"/>
              <w:ind w:left="60"/>
            </w:pPr>
            <w:r>
              <w:rPr>
                <w:rFonts w:ascii="Arial" w:cs="Arial" w:eastAsia="Arial" w:hAnsi="Arial"/>
                <w:sz w:val="17"/>
                <w:szCs w:val="17"/>
              </w:rPr>
              <w:t xml:space="preserve">135 Courthouse Crossing, Independence, KY 41051</w:t>
            </w:r>
          </w:p>
        </w:tc>
        <w:tc>
          <w:tcPr>
            <w:tcW w:type="dxa" w:w="2960"/>
            <w:tcBorders>
              <w:top w:val="single" w:color="999999" w:sz="1"/>
              <w:left w:val="single" w:color="999999" w:sz="1"/>
              <w:bottom w:val="single" w:color="999999" w:sz="1"/>
              <w:right w:val="single" w:color="999999" w:sz="1"/>
            </w:tcBorders>
            <w:shd w:fill="F2F2F2" w:val="clear"/>
          </w:tcPr>
          <w:p>
            <w:pPr>
              <w:spacing w:after="40" w:before="40"/>
              <w:ind w:left="60"/>
            </w:pPr>
            <w:r>
              <w:rPr>
                <w:rFonts w:ascii="Arial" w:cs="Arial" w:eastAsia="Arial" w:hAnsi="Arial"/>
                <w:i/>
                <w:iCs/>
                <w:color w:val="666666"/>
                <w:sz w:val="17"/>
                <w:szCs w:val="17"/>
              </w:rPr>
              <w:t xml:space="preserve">Records requested 03/13/2025</w:t>
            </w:r>
          </w:p>
        </w:tc>
      </w:tr>
    </w:tbl>
    <w:p>
      <w:pPr>
        <w:pStyle w:val="Heading1"/>
      </w:pPr>
      <w:r>
        <w:t xml:space="preserve">Treatment Summary</w:t>
      </w:r>
    </w:p>
    <w:p>
      <w:pPr>
        <w:spacing w:after="60"/>
      </w:pPr>
      <w:r>
        <w:rPr>
          <w:rFonts w:ascii="Arial" w:cs="Arial" w:eastAsia="Arial" w:hAnsi="Arial"/>
          <w:b/>
          <w:bCs/>
          <w:sz w:val="19"/>
          <w:szCs w:val="19"/>
        </w:rPr>
        <w:t xml:space="preserve">Total chiropractic visits: 62 visits over approximately 12 months (04/12/2023 – 04/03/2024)</w:t>
      </w:r>
    </w:p>
    <w:p>
      <w:pPr>
        <w:pStyle w:val="ListParagraph"/>
        <w:numPr>
          <w:ilvl w:val="0"/>
          <w:numId w:val="2"/>
        </w:numPr>
      </w:pPr>
      <w:r>
        <w:rPr>
          <w:rFonts w:ascii="Arial" w:cs="Arial" w:eastAsia="Arial" w:hAnsi="Arial"/>
          <w:sz w:val="19"/>
          <w:szCs w:val="19"/>
        </w:rPr>
        <w:t xml:space="preserve">Initial phase (Apr–Aug 2023): 3x/week — 34 visits</w:t>
      </w:r>
    </w:p>
    <w:p>
      <w:pPr>
        <w:pStyle w:val="ListParagraph"/>
        <w:numPr>
          <w:ilvl w:val="0"/>
          <w:numId w:val="2"/>
        </w:numPr>
      </w:pPr>
      <w:r>
        <w:rPr>
          <w:rFonts w:ascii="Arial" w:cs="Arial" w:eastAsia="Arial" w:hAnsi="Arial"/>
          <w:sz w:val="19"/>
          <w:szCs w:val="19"/>
        </w:rPr>
        <w:t xml:space="preserve">Reduced phase (Aug–Dec 2023): 2x/week tapering to 1x/week — 22 visits</w:t>
      </w:r>
    </w:p>
    <w:p>
      <w:pPr>
        <w:pStyle w:val="ListParagraph"/>
        <w:numPr>
          <w:ilvl w:val="0"/>
          <w:numId w:val="2"/>
        </w:numPr>
      </w:pPr>
      <w:r>
        <w:rPr>
          <w:rFonts w:ascii="Arial" w:cs="Arial" w:eastAsia="Arial" w:hAnsi="Arial"/>
          <w:sz w:val="19"/>
          <w:szCs w:val="19"/>
        </w:rPr>
        <w:t xml:space="preserve">Maintenance phase (Jan–Apr 2024): biweekly/PRN — 6 visits</w:t>
      </w:r>
    </w:p>
    <w:p>
      <w:pPr>
        <w:pStyle w:val="ListParagraph"/>
        <w:numPr>
          <w:ilvl w:val="0"/>
          <w:numId w:val="2"/>
        </w:numPr>
        <w:spacing w:after="60"/>
      </w:pPr>
      <w:r>
        <w:rPr>
          <w:rFonts w:ascii="Arial" w:cs="Arial" w:eastAsia="Arial" w:hAnsi="Arial"/>
          <w:sz w:val="19"/>
          <w:szCs w:val="19"/>
        </w:rPr>
        <w:t xml:space="preserve">Vertebral axial decompression added in final two visits (Mar–Apr 2024)</w:t>
      </w:r>
    </w:p>
    <w:p>
      <w:pPr>
        <w:pStyle w:val="Heading1"/>
      </w:pPr>
      <w:r>
        <w:t xml:space="preserve">Disability Indices at Intake</w:t>
      </w:r>
    </w:p>
    <w:p>
      <w:pPr>
        <w:pStyle w:val="ListParagraph"/>
        <w:numPr>
          <w:ilvl w:val="0"/>
          <w:numId w:val="2"/>
        </w:numPr>
      </w:pPr>
      <w:r>
        <w:rPr>
          <w:rFonts w:ascii="Arial" w:cs="Arial" w:eastAsia="Arial" w:hAnsi="Arial"/>
          <w:sz w:val="19"/>
          <w:szCs w:val="19"/>
        </w:rPr>
        <w:t xml:space="preserve">Neck Disability Index: 26/50 (moderate disability) — impacts reading, recreation, concentration, driving, and sleeping</w:t>
      </w:r>
    </w:p>
    <w:p>
      <w:pPr>
        <w:pStyle w:val="ListParagraph"/>
        <w:numPr>
          <w:ilvl w:val="0"/>
          <w:numId w:val="2"/>
        </w:numPr>
        <w:spacing w:after="100"/>
      </w:pPr>
      <w:r>
        <w:rPr>
          <w:rFonts w:ascii="Arial" w:cs="Arial" w:eastAsia="Arial" w:hAnsi="Arial"/>
          <w:sz w:val="19"/>
          <w:szCs w:val="19"/>
        </w:rPr>
        <w:t xml:space="preserve">Roland-Morris Disability Questionnaire: completed at intake documenting functional limitations in daily activities</w:t>
      </w:r>
    </w:p>
    <w:p>
      <w:pPr>
        <w:pStyle w:val="Heading1"/>
      </w:pPr>
      <w:r>
        <w:t xml:space="preserve">Billing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1"/>
              <w:left w:val="single" w:color="999999" w:sz="1"/>
              <w:bottom w:val="single" w:color="999999" w:sz="1"/>
              <w:right w:val="single" w:color="999999" w:sz="1"/>
            </w:tcBorders>
            <w:shd w:fill="1F3864" w:val="clear"/>
          </w:tcPr>
          <w:p>
            <w:pPr>
              <w:spacing w:after="60" w:before="60"/>
              <w:jc w:val="center"/>
            </w:pPr>
            <w:r>
              <w:rPr>
                <w:rFonts w:ascii="Arial" w:cs="Arial" w:eastAsia="Arial" w:hAnsi="Arial"/>
                <w:b/>
                <w:bCs/>
                <w:color w:val="FFFFFF"/>
                <w:sz w:val="18"/>
                <w:szCs w:val="18"/>
              </w:rPr>
              <w:t xml:space="preserve">Description</w:t>
            </w:r>
          </w:p>
        </w:tc>
        <w:tc>
          <w:tcPr>
            <w:tcW w:type="dxa" w:w="4680"/>
            <w:tcBorders>
              <w:top w:val="single" w:color="999999" w:sz="1"/>
              <w:left w:val="single" w:color="999999" w:sz="1"/>
              <w:bottom w:val="single" w:color="999999" w:sz="1"/>
              <w:right w:val="single" w:color="999999" w:sz="1"/>
            </w:tcBorders>
            <w:shd w:fill="1F3864" w:val="clear"/>
          </w:tcPr>
          <w:p>
            <w:pPr>
              <w:spacing w:after="60" w:before="60"/>
              <w:jc w:val="center"/>
            </w:pPr>
            <w:r>
              <w:rPr>
                <w:rFonts w:ascii="Arial" w:cs="Arial" w:eastAsia="Arial" w:hAnsi="Arial"/>
                <w:b/>
                <w:bCs/>
                <w:color w:val="FFFFFF"/>
                <w:sz w:val="18"/>
                <w:szCs w:val="18"/>
              </w:rPr>
              <w:t xml:space="preserve">Amount</w:t>
            </w:r>
          </w:p>
        </w:tc>
      </w:tr>
      <w:tr>
        <w:tc>
          <w:tcPr>
            <w:tcW w:type="dxa" w:w="4680"/>
            <w:tcBorders>
              <w:top w:val="single" w:color="999999" w:sz="1"/>
              <w:left w:val="single" w:color="999999" w:sz="1"/>
              <w:bottom w:val="single" w:color="999999" w:sz="1"/>
              <w:right w:val="single" w:color="999999" w:sz="1"/>
            </w:tcBorders>
            <w:shd w:fill="FFFFFF" w:val="clear"/>
          </w:tcPr>
          <w:p>
            <w:pPr>
              <w:spacing w:after="40" w:before="40"/>
              <w:ind w:left="60"/>
            </w:pPr>
            <w:r>
              <w:rPr>
                <w:rFonts w:ascii="Arial" w:cs="Arial" w:eastAsia="Arial" w:hAnsi="Arial"/>
                <w:sz w:val="18"/>
                <w:szCs w:val="18"/>
              </w:rPr>
              <w:t xml:space="preserve">Total Charges — Southgate Chiropractic</w:t>
            </w:r>
          </w:p>
        </w:tc>
        <w:tc>
          <w:tcPr>
            <w:tcW w:type="dxa" w:w="4680"/>
            <w:tcBorders>
              <w:top w:val="single" w:color="999999" w:sz="1"/>
              <w:left w:val="single" w:color="999999" w:sz="1"/>
              <w:bottom w:val="single" w:color="999999" w:sz="1"/>
              <w:right w:val="single" w:color="999999" w:sz="1"/>
            </w:tcBorders>
            <w:shd w:fill="FFFFFF" w:val="clear"/>
          </w:tcPr>
          <w:p>
            <w:pPr>
              <w:spacing w:after="40" w:before="40"/>
              <w:ind w:right="100"/>
              <w:jc w:val="right"/>
            </w:pPr>
            <w:r>
              <w:rPr>
                <w:rFonts w:ascii="Arial" w:cs="Arial" w:eastAsia="Arial" w:hAnsi="Arial"/>
                <w:b/>
                <w:bCs/>
                <w:sz w:val="18"/>
                <w:szCs w:val="18"/>
              </w:rPr>
              <w:t xml:space="preserve">$8,120.00</w:t>
            </w:r>
          </w:p>
        </w:tc>
      </w:tr>
      <w:tr>
        <w:tc>
          <w:tcPr>
            <w:tcW w:type="dxa" w:w="4680"/>
            <w:tcBorders>
              <w:top w:val="single" w:color="999999" w:sz="1"/>
              <w:left w:val="single" w:color="999999" w:sz="1"/>
              <w:bottom w:val="single" w:color="999999" w:sz="1"/>
              <w:right w:val="single" w:color="999999" w:sz="1"/>
            </w:tcBorders>
            <w:shd w:fill="F2F2F2" w:val="clear"/>
          </w:tcPr>
          <w:p>
            <w:pPr>
              <w:spacing w:after="40" w:before="40"/>
              <w:ind w:left="60"/>
            </w:pPr>
            <w:r>
              <w:rPr>
                <w:rFonts w:ascii="Arial" w:cs="Arial" w:eastAsia="Arial" w:hAnsi="Arial"/>
                <w:sz w:val="18"/>
                <w:szCs w:val="18"/>
              </w:rPr>
              <w:t xml:space="preserve">PIP Insurance Payments (State Farm)</w:t>
            </w:r>
          </w:p>
        </w:tc>
        <w:tc>
          <w:tcPr>
            <w:tcW w:type="dxa" w:w="4680"/>
            <w:tcBorders>
              <w:top w:val="single" w:color="999999" w:sz="1"/>
              <w:left w:val="single" w:color="999999" w:sz="1"/>
              <w:bottom w:val="single" w:color="999999" w:sz="1"/>
              <w:right w:val="single" w:color="999999" w:sz="1"/>
            </w:tcBorders>
            <w:shd w:fill="F2F2F2" w:val="clear"/>
          </w:tcPr>
          <w:p>
            <w:pPr>
              <w:spacing w:after="40" w:before="40"/>
              <w:ind w:right="100"/>
              <w:jc w:val="right"/>
            </w:pPr>
            <w:r>
              <w:rPr>
                <w:rFonts w:ascii="Arial" w:cs="Arial" w:eastAsia="Arial" w:hAnsi="Arial"/>
                <w:color w:val="C00000"/>
                <w:sz w:val="18"/>
                <w:szCs w:val="18"/>
              </w:rPr>
              <w:t xml:space="preserve">($6,000.20)</w:t>
            </w:r>
          </w:p>
        </w:tc>
      </w:tr>
      <w:tr>
        <w:tc>
          <w:tcPr>
            <w:tcW w:type="dxa" w:w="4680"/>
            <w:tcBorders>
              <w:top w:val="single" w:color="999999" w:sz="1"/>
              <w:left w:val="single" w:color="999999" w:sz="1"/>
              <w:bottom w:val="single" w:color="999999" w:sz="1"/>
              <w:right w:val="single" w:color="999999" w:sz="1"/>
            </w:tcBorders>
            <w:shd w:fill="FFFFFF" w:val="clear"/>
          </w:tcPr>
          <w:p>
            <w:pPr>
              <w:spacing w:after="40" w:before="40"/>
              <w:ind w:left="60"/>
            </w:pPr>
            <w:r>
              <w:rPr>
                <w:rFonts w:ascii="Arial" w:cs="Arial" w:eastAsia="Arial" w:hAnsi="Arial"/>
                <w:b/>
                <w:bCs/>
                <w:sz w:val="18"/>
                <w:szCs w:val="18"/>
              </w:rPr>
              <w:t xml:space="preserve">Balance Due (Lien)</w:t>
            </w:r>
          </w:p>
        </w:tc>
        <w:tc>
          <w:tcPr>
            <w:tcW w:type="dxa" w:w="4680"/>
            <w:tcBorders>
              <w:top w:val="single" w:color="999999" w:sz="1"/>
              <w:left w:val="single" w:color="999999" w:sz="1"/>
              <w:bottom w:val="single" w:color="999999" w:sz="1"/>
              <w:right w:val="single" w:color="999999" w:sz="1"/>
            </w:tcBorders>
            <w:shd w:fill="FFFFFF" w:val="clear"/>
          </w:tcPr>
          <w:p>
            <w:pPr>
              <w:spacing w:after="40" w:before="40"/>
              <w:ind w:right="100"/>
              <w:jc w:val="right"/>
            </w:pPr>
            <w:r>
              <w:rPr>
                <w:rFonts w:ascii="Arial" w:cs="Arial" w:eastAsia="Arial" w:hAnsi="Arial"/>
                <w:b/>
                <w:bCs/>
                <w:color w:val="C00000"/>
                <w:sz w:val="18"/>
                <w:szCs w:val="18"/>
              </w:rPr>
              <w:t xml:space="preserve">$4,980.00</w:t>
            </w:r>
          </w:p>
        </w:tc>
      </w:tr>
    </w:tbl>
    <w:p>
      <w:pPr>
        <w:pStyle w:val="Heading1"/>
      </w:pPr>
      <w:r>
        <w:t xml:space="preserve">Current Status</w:t>
      </w:r>
    </w:p>
    <w:p>
      <w:pPr>
        <w:spacing w:after="200"/>
      </w:pPr>
      <w:r>
        <w:rPr>
          <w:rFonts w:ascii="Arial" w:cs="Arial" w:eastAsia="Arial" w:hAnsi="Arial"/>
          <w:sz w:val="19"/>
          <w:szCs w:val="19"/>
        </w:rPr>
        <w:t xml:space="preserve">Mr. Neltner was discharged from active chiropractic care after his April 3, 2024 visit. Per the settlement demand letter dated November 25, 2024, he continues to suffer from mild residual pain as a result of the collision. He manages symptoms with a home exercise program and over-the-counter medications as needed. Defense counsel subpoenaed records from Mercy Urgent Care, TriStar Physicians, and UH Minoff Health Center in March 2025; records from St. Elizabeth Primary Care were also requested. No additional treatment records have been produced.</w:t>
      </w:r>
    </w:p>
    <w:p>
      <w:r>
        <w:br w:type="page"/>
      </w:r>
    </w:p>
    <w:p>
      <w:pPr>
        <w:pStyle w:val="Heading1"/>
      </w:pPr>
      <w:r>
        <w:t xml:space="preserve">Detailed Treatment Chronology</w:t>
      </w:r>
    </w:p>
    <w:p>
      <w:pPr>
        <w:spacing w:after="120"/>
      </w:pPr>
      <w:r>
        <w:rPr>
          <w:rFonts w:ascii="Arial" w:cs="Arial" w:eastAsia="Arial" w:hAnsi="Arial"/>
          <w:i/>
          <w:iCs/>
          <w:color w:val="666666"/>
          <w:sz w:val="17"/>
          <w:szCs w:val="17"/>
        </w:rPr>
        <w:t xml:space="preserve">All treatment at Southgate Chiropractic &amp; Massage Wellness Center (Dr. Roger C. Jones, D.C.) unless otherwise noted. Standard treatment protocol includes: traction (8-10 lbs, T1-S1, 10 min), muscle stimulation (2Hz, 8-10 min), heat (10 min), ice (10 min), intersegmental traction (12 min).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160"/>
        <w:gridCol w:w="2000"/>
      </w:tblGrid>
      <w:tr>
        <w:trPr>
          <w:tblHeader/>
        </w:trPr>
        <w:tc>
          <w:tcPr>
            <w:tcW w:type="dxa" w:w="1400"/>
            <w:tcBorders>
              <w:top w:val="single" w:color="999999" w:sz="1"/>
              <w:left w:val="single" w:color="999999" w:sz="1"/>
              <w:bottom w:val="single" w:color="999999" w:sz="1"/>
              <w:right w:val="single" w:color="999999" w:sz="1"/>
            </w:tcBorders>
            <w:shd w:fill="1F3864" w:val="clear"/>
            <w:vAlign w:val="center"/>
          </w:tcPr>
          <w:p>
            <w:pPr>
              <w:spacing w:after="60" w:before="60"/>
              <w:jc w:val="center"/>
            </w:pPr>
            <w:r>
              <w:rPr>
                <w:rFonts w:ascii="Arial" w:cs="Arial" w:eastAsia="Arial" w:hAnsi="Arial"/>
                <w:b/>
                <w:bCs/>
                <w:color w:val="FFFFFF"/>
                <w:sz w:val="18"/>
                <w:szCs w:val="18"/>
              </w:rPr>
              <w:t xml:space="preserve">Date</w:t>
            </w:r>
          </w:p>
        </w:tc>
        <w:tc>
          <w:tcPr>
            <w:tcW w:type="dxa" w:w="1800"/>
            <w:tcBorders>
              <w:top w:val="single" w:color="999999" w:sz="1"/>
              <w:left w:val="single" w:color="999999" w:sz="1"/>
              <w:bottom w:val="single" w:color="999999" w:sz="1"/>
              <w:right w:val="single" w:color="999999" w:sz="1"/>
            </w:tcBorders>
            <w:shd w:fill="1F3864" w:val="clear"/>
            <w:vAlign w:val="center"/>
          </w:tcPr>
          <w:p>
            <w:pPr>
              <w:spacing w:after="60" w:before="60"/>
              <w:jc w:val="center"/>
            </w:pPr>
            <w:r>
              <w:rPr>
                <w:rFonts w:ascii="Arial" w:cs="Arial" w:eastAsia="Arial" w:hAnsi="Arial"/>
                <w:b/>
                <w:bCs/>
                <w:color w:val="FFFFFF"/>
                <w:sz w:val="18"/>
                <w:szCs w:val="18"/>
              </w:rPr>
              <w:t xml:space="preserve">Provider</w:t>
            </w:r>
          </w:p>
        </w:tc>
        <w:tc>
          <w:tcPr>
            <w:tcW w:type="dxa" w:w="4160"/>
            <w:tcBorders>
              <w:top w:val="single" w:color="999999" w:sz="1"/>
              <w:left w:val="single" w:color="999999" w:sz="1"/>
              <w:bottom w:val="single" w:color="999999" w:sz="1"/>
              <w:right w:val="single" w:color="999999" w:sz="1"/>
            </w:tcBorders>
            <w:shd w:fill="1F3864" w:val="clear"/>
            <w:vAlign w:val="center"/>
          </w:tcPr>
          <w:p>
            <w:pPr>
              <w:spacing w:after="60" w:before="60"/>
              <w:jc w:val="center"/>
            </w:pPr>
            <w:r>
              <w:rPr>
                <w:rFonts w:ascii="Arial" w:cs="Arial" w:eastAsia="Arial" w:hAnsi="Arial"/>
                <w:b/>
                <w:bCs/>
                <w:color w:val="FFFFFF"/>
                <w:sz w:val="18"/>
                <w:szCs w:val="18"/>
              </w:rPr>
              <w:t xml:space="preserve">Description</w:t>
            </w:r>
          </w:p>
        </w:tc>
        <w:tc>
          <w:tcPr>
            <w:tcW w:type="dxa" w:w="2000"/>
            <w:tcBorders>
              <w:top w:val="single" w:color="999999" w:sz="1"/>
              <w:left w:val="single" w:color="999999" w:sz="1"/>
              <w:bottom w:val="single" w:color="999999" w:sz="1"/>
              <w:right w:val="single" w:color="999999" w:sz="1"/>
            </w:tcBorders>
            <w:shd w:fill="1F3864" w:val="clear"/>
            <w:vAlign w:val="center"/>
          </w:tcPr>
          <w:p>
            <w:pPr>
              <w:spacing w:after="60" w:before="60"/>
              <w:jc w:val="center"/>
            </w:pPr>
            <w:r>
              <w:rPr>
                <w:rFonts w:ascii="Arial" w:cs="Arial" w:eastAsia="Arial" w:hAnsi="Arial"/>
                <w:b/>
                <w:bCs/>
                <w:color w:val="FFFFFF"/>
                <w:sz w:val="18"/>
                <w:szCs w:val="18"/>
              </w:rPr>
              <w:t xml:space="preserve">Pain Level</w:t>
            </w:r>
          </w:p>
        </w:tc>
      </w:tr>
      <w:tr>
        <w:tc>
          <w:tcPr>
            <w:tcW w:type="dxa" w:w="9360"/>
            <w:gridSpan w:val="4"/>
            <w:tcBorders>
              <w:top w:val="single" w:color="999999" w:sz="1"/>
              <w:left w:val="single" w:color="999999" w:sz="1"/>
              <w:bottom w:val="single" w:color="999999" w:sz="1"/>
              <w:right w:val="single" w:color="999999" w:sz="1"/>
            </w:tcBorders>
            <w:shd w:fill="D6E4F0" w:val="clear"/>
          </w:tcPr>
          <w:p>
            <w:pPr>
              <w:spacing w:after="60" w:before="60"/>
              <w:ind w:left="100"/>
            </w:pPr>
            <w:r>
              <w:rPr>
                <w:rFonts w:ascii="Arial" w:cs="Arial" w:eastAsia="Arial" w:hAnsi="Arial"/>
                <w:b/>
                <w:bCs/>
                <w:color w:val="1F3864"/>
                <w:sz w:val="18"/>
                <w:szCs w:val="18"/>
              </w:rPr>
              <w:t xml:space="preserve">ACCIDENT — April 1, 2023</w:t>
            </w:r>
          </w:p>
        </w:tc>
      </w:tr>
      <w:tr>
        <w:tc>
          <w:tcPr>
            <w:tcW w:type="dxa" w:w="14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04/01/2023</w:t>
            </w:r>
          </w:p>
        </w:tc>
        <w:tc>
          <w:tcPr>
            <w:tcW w:type="dxa" w:w="18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Scene / No Transport</w:t>
            </w:r>
          </w:p>
        </w:tc>
        <w:tc>
          <w:tcPr>
            <w:tcW w:type="dxa" w:w="416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Motor vehicle accident on Burlington Pike (KY 18), Florence, KY. Greg was restrained driver traveling eastbound. Defendant Trinity Cohara cut across multiple lanes into plaintiff's path. Greg experienced head, neck, and back pain at scene but declined ambulance transport.</w:t>
            </w:r>
          </w:p>
        </w:tc>
        <w:tc>
          <w:tcPr>
            <w:tcW w:type="dxa" w:w="20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w:t>
            </w:r>
          </w:p>
        </w:tc>
      </w:tr>
      <w:tr>
        <w:tc>
          <w:tcPr>
            <w:tcW w:type="dxa" w:w="9360"/>
            <w:gridSpan w:val="4"/>
            <w:tcBorders>
              <w:top w:val="single" w:color="999999" w:sz="1"/>
              <w:left w:val="single" w:color="999999" w:sz="1"/>
              <w:bottom w:val="single" w:color="999999" w:sz="1"/>
              <w:right w:val="single" w:color="999999" w:sz="1"/>
            </w:tcBorders>
            <w:shd w:fill="D6E4F0" w:val="clear"/>
          </w:tcPr>
          <w:p>
            <w:pPr>
              <w:spacing w:after="60" w:before="60"/>
              <w:ind w:left="100"/>
            </w:pPr>
            <w:r>
              <w:rPr>
                <w:rFonts w:ascii="Arial" w:cs="Arial" w:eastAsia="Arial" w:hAnsi="Arial"/>
                <w:b/>
                <w:bCs/>
                <w:color w:val="1F3864"/>
                <w:sz w:val="18"/>
                <w:szCs w:val="18"/>
              </w:rPr>
              <w:t xml:space="preserve">INITIAL EVALUATION &amp; ACTIVE TREATMENT — Southgate Chiropractic (3x/week)</w:t>
            </w:r>
          </w:p>
        </w:tc>
      </w:tr>
      <w:tr>
        <w:tc>
          <w:tcPr>
            <w:tcW w:type="dxa" w:w="14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04/12/2023</w:t>
            </w:r>
          </w:p>
        </w:tc>
        <w:tc>
          <w:tcPr>
            <w:tcW w:type="dxa" w:w="18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INITIAL EVALUATION (New Patient). Chief complaint: injuries sustained in MVA on 4/1/2023. Exam findings: cervical, thoracic, and lumbar subluxations with moderate-to-severe muscle spasms. Diagnoses: S13.4xxA (cervical sprain), M99.01 (cervical segmental dysfunction), S33.5xxA (lumbar sprain), M99.03 (lumbar segmental dysfunction), S23.3xxA (thoracic sprain), M99.02 (thoracic segmental dysfunction). Treatment plan: 3x/week chiropractic care. Tx: CMT 3-4 regions, electrical stimulation, intersegmental traction, hot/cold packs, ultrasound.</w:t>
            </w:r>
          </w:p>
        </w:tc>
        <w:tc>
          <w:tcPr>
            <w:tcW w:type="dxa" w:w="20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6/10</w:t>
            </w:r>
          </w:p>
        </w:tc>
      </w:tr>
      <w:tr>
        <w:tc>
          <w:tcPr>
            <w:tcW w:type="dxa" w:w="14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04/14/2023</w:t>
            </w:r>
          </w:p>
        </w:tc>
        <w:tc>
          <w:tcPr>
            <w:tcW w:type="dxa" w:w="18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Follow-up treatment. Subjective: continued neck and back pain following MVA. Objective: sharp pain cervical/thoracic/lumbar regions; moderate muscle spasms throughout. Tx: CMT 3-4 regions, electrical stimulation, intersegmental traction, hot/cold packs, ultrasound. Assessment: same/worse since last visit.</w:t>
            </w:r>
          </w:p>
        </w:tc>
        <w:tc>
          <w:tcPr>
            <w:tcW w:type="dxa" w:w="20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6/10</w:t>
            </w:r>
          </w:p>
        </w:tc>
      </w:tr>
      <w:tr>
        <w:tc>
          <w:tcPr>
            <w:tcW w:type="dxa" w:w="14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04/17/2023</w:t>
            </w:r>
          </w:p>
        </w:tc>
        <w:tc>
          <w:tcPr>
            <w:tcW w:type="dxa" w:w="18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Follow-up treatment. Continued cervical, thoracic, and lumbar pain with moderate spasms. Tx: CMT 3-4 regions, electrical stimulation, intersegmental traction, hot/cold packs, ultrasound.</w:t>
            </w:r>
          </w:p>
        </w:tc>
        <w:tc>
          <w:tcPr>
            <w:tcW w:type="dxa" w:w="20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6–7/10</w:t>
            </w:r>
          </w:p>
        </w:tc>
      </w:tr>
      <w:tr>
        <w:tc>
          <w:tcPr>
            <w:tcW w:type="dxa" w:w="14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04/19/2023</w:t>
            </w:r>
          </w:p>
        </w:tc>
        <w:tc>
          <w:tcPr>
            <w:tcW w:type="dxa" w:w="18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Follow-up treatment. Sharp pain in cervical and lumbar spine; moderate-severe muscle spasms. Tx: CMT, electrical stimulation, intersegmental traction, hot/cold packs, ultrasound.</w:t>
            </w:r>
          </w:p>
        </w:tc>
        <w:tc>
          <w:tcPr>
            <w:tcW w:type="dxa" w:w="20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6/10</w:t>
            </w:r>
          </w:p>
        </w:tc>
      </w:tr>
      <w:tr>
        <w:tc>
          <w:tcPr>
            <w:tcW w:type="dxa" w:w="14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04/21/2023</w:t>
            </w:r>
          </w:p>
        </w:tc>
        <w:tc>
          <w:tcPr>
            <w:tcW w:type="dxa" w:w="18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Follow-up treatment. Continued pain with moderate spasms. Tx: CMT 3-4 regions, electrical stimulation, intersegmental traction, hot/cold packs, ultrasound.</w:t>
            </w:r>
          </w:p>
        </w:tc>
        <w:tc>
          <w:tcPr>
            <w:tcW w:type="dxa" w:w="20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5–6/10</w:t>
            </w:r>
          </w:p>
        </w:tc>
      </w:tr>
      <w:tr>
        <w:tc>
          <w:tcPr>
            <w:tcW w:type="dxa" w:w="14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04/24/2023</w:t>
            </w:r>
          </w:p>
        </w:tc>
        <w:tc>
          <w:tcPr>
            <w:tcW w:type="dxa" w:w="18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Follow-up treatment. Pain throughout cervical, thoracic, and lumbar spine. Moderate muscle spasms. Tx: CMT, electrical stimulation, intersegmental traction, hot/cold packs, ultrasound.</w:t>
            </w:r>
          </w:p>
        </w:tc>
        <w:tc>
          <w:tcPr>
            <w:tcW w:type="dxa" w:w="20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5–7/10</w:t>
            </w:r>
          </w:p>
        </w:tc>
      </w:tr>
      <w:tr>
        <w:tc>
          <w:tcPr>
            <w:tcW w:type="dxa" w:w="14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04/26/2023</w:t>
            </w:r>
          </w:p>
        </w:tc>
        <w:tc>
          <w:tcPr>
            <w:tcW w:type="dxa" w:w="18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Follow-up treatment. Assessment: improved since last TX. Continued moderate spasms. Tx: CMT, electrical stimulation, intersegmental traction, hot/cold packs, ultrasound.</w:t>
            </w:r>
          </w:p>
        </w:tc>
        <w:tc>
          <w:tcPr>
            <w:tcW w:type="dxa" w:w="20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5–6/10</w:t>
            </w:r>
          </w:p>
        </w:tc>
      </w:tr>
      <w:tr>
        <w:tc>
          <w:tcPr>
            <w:tcW w:type="dxa" w:w="14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04/28/2023</w:t>
            </w:r>
          </w:p>
        </w:tc>
        <w:tc>
          <w:tcPr>
            <w:tcW w:type="dxa" w:w="18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Follow-up treatment. Sharp pain cervical/lumbar regions; moderate spasms. Tx: CMT, electrical stimulation, intersegmental traction, hot/cold packs, ultrasound.</w:t>
            </w:r>
          </w:p>
        </w:tc>
        <w:tc>
          <w:tcPr>
            <w:tcW w:type="dxa" w:w="20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5–7/10</w:t>
            </w:r>
          </w:p>
        </w:tc>
      </w:tr>
      <w:tr>
        <w:tc>
          <w:tcPr>
            <w:tcW w:type="dxa" w:w="14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05/01/2023</w:t>
            </w:r>
          </w:p>
        </w:tc>
        <w:tc>
          <w:tcPr>
            <w:tcW w:type="dxa" w:w="18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Follow-up treatment. Continued neck and low back pain. Moderate spasms. Tx: CMT, electrical stimulation, intersegmental traction, hot/cold packs, ultrasound.</w:t>
            </w:r>
          </w:p>
        </w:tc>
        <w:tc>
          <w:tcPr>
            <w:tcW w:type="dxa" w:w="20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5–6/10</w:t>
            </w:r>
          </w:p>
        </w:tc>
      </w:tr>
      <w:tr>
        <w:tc>
          <w:tcPr>
            <w:tcW w:type="dxa" w:w="14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05/05/2023</w:t>
            </w:r>
          </w:p>
        </w:tc>
        <w:tc>
          <w:tcPr>
            <w:tcW w:type="dxa" w:w="18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Follow-up treatment. Moderate muscle spasms cervical/thoracic/lumbar. Tx: CMT, electrical stimulation, intersegmental traction, hot/cold packs, ultrasound.</w:t>
            </w:r>
          </w:p>
        </w:tc>
        <w:tc>
          <w:tcPr>
            <w:tcW w:type="dxa" w:w="20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5–6/10</w:t>
            </w:r>
          </w:p>
        </w:tc>
      </w:tr>
      <w:tr>
        <w:tc>
          <w:tcPr>
            <w:tcW w:type="dxa" w:w="14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05/08/2023</w:t>
            </w:r>
          </w:p>
        </w:tc>
        <w:tc>
          <w:tcPr>
            <w:tcW w:type="dxa" w:w="18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Follow-up treatment. Assessment: improved. Moderate spasms persist. Tx: CMT, electrical stimulation, intersegmental traction, hot/cold packs, ultrasound.</w:t>
            </w:r>
          </w:p>
        </w:tc>
        <w:tc>
          <w:tcPr>
            <w:tcW w:type="dxa" w:w="20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5/10</w:t>
            </w:r>
          </w:p>
        </w:tc>
      </w:tr>
      <w:tr>
        <w:tc>
          <w:tcPr>
            <w:tcW w:type="dxa" w:w="14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05/12/2023</w:t>
            </w:r>
          </w:p>
        </w:tc>
        <w:tc>
          <w:tcPr>
            <w:tcW w:type="dxa" w:w="18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Follow-up treatment. Continued treatment for cervical, thoracic, and lumbar dysfunction. Moderate spasms. Tx: CMT, electrical stimulation, intersegmental traction, hot/cold packs, ultrasound.</w:t>
            </w:r>
          </w:p>
        </w:tc>
        <w:tc>
          <w:tcPr>
            <w:tcW w:type="dxa" w:w="20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5–6/10</w:t>
            </w:r>
          </w:p>
        </w:tc>
      </w:tr>
      <w:tr>
        <w:tc>
          <w:tcPr>
            <w:tcW w:type="dxa" w:w="14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05/15/2023</w:t>
            </w:r>
          </w:p>
        </w:tc>
        <w:tc>
          <w:tcPr>
            <w:tcW w:type="dxa" w:w="18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Follow-up treatment. Moderate spasms. Assessment: improved. Tx: CMT, electrical stimulation, intersegmental traction, hot/cold packs, ultrasound.</w:t>
            </w:r>
          </w:p>
        </w:tc>
        <w:tc>
          <w:tcPr>
            <w:tcW w:type="dxa" w:w="20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5/10</w:t>
            </w:r>
          </w:p>
        </w:tc>
      </w:tr>
      <w:tr>
        <w:tc>
          <w:tcPr>
            <w:tcW w:type="dxa" w:w="14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05/19/2023</w:t>
            </w:r>
          </w:p>
        </w:tc>
        <w:tc>
          <w:tcPr>
            <w:tcW w:type="dxa" w:w="18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Follow-up treatment. Sharp pain cervical/lumbar. Moderate muscle spasms. Tx: CMT, electrical stimulation, intersegmental traction, hot/cold packs, ultrasound.</w:t>
            </w:r>
          </w:p>
        </w:tc>
        <w:tc>
          <w:tcPr>
            <w:tcW w:type="dxa" w:w="20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5–6/10</w:t>
            </w:r>
          </w:p>
        </w:tc>
      </w:tr>
      <w:tr>
        <w:tc>
          <w:tcPr>
            <w:tcW w:type="dxa" w:w="14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05/22/2023</w:t>
            </w:r>
          </w:p>
        </w:tc>
        <w:tc>
          <w:tcPr>
            <w:tcW w:type="dxa" w:w="18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Follow-up treatment. Moderate spasms throughout. Assessment: improved. Tx: CMT, electrical stimulation, intersegmental traction, hot/cold packs, ultrasound.</w:t>
            </w:r>
          </w:p>
        </w:tc>
        <w:tc>
          <w:tcPr>
            <w:tcW w:type="dxa" w:w="20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4–5/10</w:t>
            </w:r>
          </w:p>
        </w:tc>
      </w:tr>
      <w:tr>
        <w:tc>
          <w:tcPr>
            <w:tcW w:type="dxa" w:w="14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05/26/2023</w:t>
            </w:r>
          </w:p>
        </w:tc>
        <w:tc>
          <w:tcPr>
            <w:tcW w:type="dxa" w:w="18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Follow-up treatment. Continued cervical and lumbar pain. Moderate spasms. Tx: CMT, electrical stimulation, intersegmental traction, hot/cold packs, ultrasound.</w:t>
            </w:r>
          </w:p>
        </w:tc>
        <w:tc>
          <w:tcPr>
            <w:tcW w:type="dxa" w:w="20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5/10</w:t>
            </w:r>
          </w:p>
        </w:tc>
      </w:tr>
      <w:tr>
        <w:tc>
          <w:tcPr>
            <w:tcW w:type="dxa" w:w="14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05/31/2023</w:t>
            </w:r>
          </w:p>
        </w:tc>
        <w:tc>
          <w:tcPr>
            <w:tcW w:type="dxa" w:w="18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Follow-up treatment. PIP insurance payment of $1,620.00 applied. Continued treatment. Moderate spasms. Tx: CMT, electrical stimulation, intersegmental traction, hot/cold packs, ultrasound.</w:t>
            </w:r>
          </w:p>
        </w:tc>
        <w:tc>
          <w:tcPr>
            <w:tcW w:type="dxa" w:w="20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5/10</w:t>
            </w:r>
          </w:p>
        </w:tc>
      </w:tr>
      <w:tr>
        <w:tc>
          <w:tcPr>
            <w:tcW w:type="dxa" w:w="14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06/02/2023</w:t>
            </w:r>
          </w:p>
        </w:tc>
        <w:tc>
          <w:tcPr>
            <w:tcW w:type="dxa" w:w="18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Follow-up treatment. Moderate muscle spasms. Assessment: improved. Tx: CMT, electrical stimulation, intersegmental traction, hot/cold packs, ultrasound.</w:t>
            </w:r>
          </w:p>
        </w:tc>
        <w:tc>
          <w:tcPr>
            <w:tcW w:type="dxa" w:w="20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4–5/10</w:t>
            </w:r>
          </w:p>
        </w:tc>
      </w:tr>
      <w:tr>
        <w:tc>
          <w:tcPr>
            <w:tcW w:type="dxa" w:w="14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06/05/2023</w:t>
            </w:r>
          </w:p>
        </w:tc>
        <w:tc>
          <w:tcPr>
            <w:tcW w:type="dxa" w:w="18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Follow-up treatment. Moderate spasms persist. Tx: CMT, electrical stimulation, intersegmental traction, hot/cold packs, ultrasound.</w:t>
            </w:r>
          </w:p>
        </w:tc>
        <w:tc>
          <w:tcPr>
            <w:tcW w:type="dxa" w:w="20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5/10</w:t>
            </w:r>
          </w:p>
        </w:tc>
      </w:tr>
      <w:tr>
        <w:tc>
          <w:tcPr>
            <w:tcW w:type="dxa" w:w="14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06/09/2023</w:t>
            </w:r>
          </w:p>
        </w:tc>
        <w:tc>
          <w:tcPr>
            <w:tcW w:type="dxa" w:w="18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Follow-up treatment. Cervical and lumbar pain. Moderate spasms. Tx: CMT, electrical stimulation, intersegmental traction, hot/cold packs, ultrasound.</w:t>
            </w:r>
          </w:p>
        </w:tc>
        <w:tc>
          <w:tcPr>
            <w:tcW w:type="dxa" w:w="20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4–5/10</w:t>
            </w:r>
          </w:p>
        </w:tc>
      </w:tr>
      <w:tr>
        <w:tc>
          <w:tcPr>
            <w:tcW w:type="dxa" w:w="14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06/12/2023</w:t>
            </w:r>
          </w:p>
        </w:tc>
        <w:tc>
          <w:tcPr>
            <w:tcW w:type="dxa" w:w="18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Follow-up treatment. Moderate spasms. Assessment: improved. Tx: CMT, electrical stimulation, intersegmental traction, hot/cold packs, ultrasound.</w:t>
            </w:r>
          </w:p>
        </w:tc>
        <w:tc>
          <w:tcPr>
            <w:tcW w:type="dxa" w:w="20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4–5/10</w:t>
            </w:r>
          </w:p>
        </w:tc>
      </w:tr>
      <w:tr>
        <w:tc>
          <w:tcPr>
            <w:tcW w:type="dxa" w:w="14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06/16/2023</w:t>
            </w:r>
          </w:p>
        </w:tc>
        <w:tc>
          <w:tcPr>
            <w:tcW w:type="dxa" w:w="18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Follow-up treatment. Moderate muscle spasms. Tx: CMT, electrical stimulation, intersegmental traction, hot/cold packs, ultrasound.</w:t>
            </w:r>
          </w:p>
        </w:tc>
        <w:tc>
          <w:tcPr>
            <w:tcW w:type="dxa" w:w="20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4–5/10</w:t>
            </w:r>
          </w:p>
        </w:tc>
      </w:tr>
      <w:tr>
        <w:tc>
          <w:tcPr>
            <w:tcW w:type="dxa" w:w="14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06/19/2023</w:t>
            </w:r>
          </w:p>
        </w:tc>
        <w:tc>
          <w:tcPr>
            <w:tcW w:type="dxa" w:w="18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Follow-up treatment. Continued cervical/thoracic/lumbar treatment. Moderate spasms. Tx: CMT, electrical stimulation, intersegmental traction, hot/cold packs, ultrasound.</w:t>
            </w:r>
          </w:p>
        </w:tc>
        <w:tc>
          <w:tcPr>
            <w:tcW w:type="dxa" w:w="20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4/10</w:t>
            </w:r>
          </w:p>
        </w:tc>
      </w:tr>
      <w:tr>
        <w:tc>
          <w:tcPr>
            <w:tcW w:type="dxa" w:w="14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06/23/2023</w:t>
            </w:r>
          </w:p>
        </w:tc>
        <w:tc>
          <w:tcPr>
            <w:tcW w:type="dxa" w:w="18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Follow-up treatment. Insurance payment of $840.00 applied (6/21). Moderate spasms. Tx: CMT, electrical stimulation, intersegmental traction, hot/cold packs, ultrasound.</w:t>
            </w:r>
          </w:p>
        </w:tc>
        <w:tc>
          <w:tcPr>
            <w:tcW w:type="dxa" w:w="20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4–5/10</w:t>
            </w:r>
          </w:p>
        </w:tc>
      </w:tr>
      <w:tr>
        <w:tc>
          <w:tcPr>
            <w:tcW w:type="dxa" w:w="14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06/26/2023</w:t>
            </w:r>
          </w:p>
        </w:tc>
        <w:tc>
          <w:tcPr>
            <w:tcW w:type="dxa" w:w="18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Follow-up treatment. Moderate spasms. Tx: CMT, electrical stimulation, intersegmental traction, hot/cold packs, ultrasound.</w:t>
            </w:r>
          </w:p>
        </w:tc>
        <w:tc>
          <w:tcPr>
            <w:tcW w:type="dxa" w:w="20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4/10</w:t>
            </w:r>
          </w:p>
        </w:tc>
      </w:tr>
      <w:tr>
        <w:tc>
          <w:tcPr>
            <w:tcW w:type="dxa" w:w="14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06/30/2023</w:t>
            </w:r>
          </w:p>
        </w:tc>
        <w:tc>
          <w:tcPr>
            <w:tcW w:type="dxa" w:w="18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Follow-up treatment. Cervical and lumbar pain persists. Moderate spasms. Tx: CMT, electrical stimulation, intersegmental traction, hot/cold packs, ultrasound.</w:t>
            </w:r>
          </w:p>
        </w:tc>
        <w:tc>
          <w:tcPr>
            <w:tcW w:type="dxa" w:w="20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4–5/10</w:t>
            </w:r>
          </w:p>
        </w:tc>
      </w:tr>
      <w:tr>
        <w:tc>
          <w:tcPr>
            <w:tcW w:type="dxa" w:w="14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07/05/2023</w:t>
            </w:r>
          </w:p>
        </w:tc>
        <w:tc>
          <w:tcPr>
            <w:tcW w:type="dxa" w:w="18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Follow-up treatment. Moderate spasms. Assessment: improved. Tx: CMT, electrical stimulation, intersegmental traction, hot/cold packs, ultrasound.</w:t>
            </w:r>
          </w:p>
        </w:tc>
        <w:tc>
          <w:tcPr>
            <w:tcW w:type="dxa" w:w="20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4/10</w:t>
            </w:r>
          </w:p>
        </w:tc>
      </w:tr>
      <w:tr>
        <w:tc>
          <w:tcPr>
            <w:tcW w:type="dxa" w:w="14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07/07/2023</w:t>
            </w:r>
          </w:p>
        </w:tc>
        <w:tc>
          <w:tcPr>
            <w:tcW w:type="dxa" w:w="18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Follow-up treatment. Moderate muscle spasms. Tx: CMT, electrical stimulation, intersegmental traction, hot/cold packs, ultrasound.</w:t>
            </w:r>
          </w:p>
        </w:tc>
        <w:tc>
          <w:tcPr>
            <w:tcW w:type="dxa" w:w="20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3–5/10</w:t>
            </w:r>
          </w:p>
        </w:tc>
      </w:tr>
      <w:tr>
        <w:tc>
          <w:tcPr>
            <w:tcW w:type="dxa" w:w="14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07/10/2023</w:t>
            </w:r>
          </w:p>
        </w:tc>
        <w:tc>
          <w:tcPr>
            <w:tcW w:type="dxa" w:w="18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Follow-up treatment. Insurance payment of $840.00 applied (7/12). Moderate spasms. Tx: CMT, electrical stimulation, intersegmental traction, hot/cold packs, ultrasound.</w:t>
            </w:r>
          </w:p>
        </w:tc>
        <w:tc>
          <w:tcPr>
            <w:tcW w:type="dxa" w:w="20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4/10</w:t>
            </w:r>
          </w:p>
        </w:tc>
      </w:tr>
      <w:tr>
        <w:tc>
          <w:tcPr>
            <w:tcW w:type="dxa" w:w="14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07/14/2023</w:t>
            </w:r>
          </w:p>
        </w:tc>
        <w:tc>
          <w:tcPr>
            <w:tcW w:type="dxa" w:w="18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Follow-up treatment. Moderate spasms cervical and lumbar. Tx: CMT, electrical stimulation, intersegmental traction, hot/cold packs, ultrasound.</w:t>
            </w:r>
          </w:p>
        </w:tc>
        <w:tc>
          <w:tcPr>
            <w:tcW w:type="dxa" w:w="20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3–5/10</w:t>
            </w:r>
          </w:p>
        </w:tc>
      </w:tr>
      <w:tr>
        <w:tc>
          <w:tcPr>
            <w:tcW w:type="dxa" w:w="14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07/17/2023</w:t>
            </w:r>
          </w:p>
        </w:tc>
        <w:tc>
          <w:tcPr>
            <w:tcW w:type="dxa" w:w="18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Follow-up treatment. Assessment: improved. Moderate spasms. Tx: CMT, electrical stimulation, intersegmental traction, hot/cold packs, ultrasound.</w:t>
            </w:r>
          </w:p>
        </w:tc>
        <w:tc>
          <w:tcPr>
            <w:tcW w:type="dxa" w:w="20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3–4/10</w:t>
            </w:r>
          </w:p>
        </w:tc>
      </w:tr>
      <w:tr>
        <w:tc>
          <w:tcPr>
            <w:tcW w:type="dxa" w:w="14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07/24/2023</w:t>
            </w:r>
          </w:p>
        </w:tc>
        <w:tc>
          <w:tcPr>
            <w:tcW w:type="dxa" w:w="18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Follow-up treatment. Moderate muscle spasms. Tx: CMT, electrical stimulation, intersegmental traction, hot/cold packs, ultrasound. Treatment frequency reduced to 2x/week.</w:t>
            </w:r>
          </w:p>
        </w:tc>
        <w:tc>
          <w:tcPr>
            <w:tcW w:type="dxa" w:w="20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3–5/10</w:t>
            </w:r>
          </w:p>
        </w:tc>
      </w:tr>
      <w:tr>
        <w:tc>
          <w:tcPr>
            <w:tcW w:type="dxa" w:w="14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08/07/2023</w:t>
            </w:r>
          </w:p>
        </w:tc>
        <w:tc>
          <w:tcPr>
            <w:tcW w:type="dxa" w:w="18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Follow-up treatment. Insurance payment of $840.00 applied. Moderate spasms. Tx: CMT, electrical stimulation, intersegmental traction, hot/cold packs, ultrasound.</w:t>
            </w:r>
          </w:p>
        </w:tc>
        <w:tc>
          <w:tcPr>
            <w:tcW w:type="dxa" w:w="20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3–4/10</w:t>
            </w:r>
          </w:p>
        </w:tc>
      </w:tr>
      <w:tr>
        <w:tc>
          <w:tcPr>
            <w:tcW w:type="dxa" w:w="14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08/14/2023</w:t>
            </w:r>
          </w:p>
        </w:tc>
        <w:tc>
          <w:tcPr>
            <w:tcW w:type="dxa" w:w="18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Follow-up treatment. Moderate muscle spasms cervical/thoracic/lumbar. Tx: CMT, electrical stimulation, intersegmental traction, hot/cold packs, ultrasound.</w:t>
            </w:r>
          </w:p>
        </w:tc>
        <w:tc>
          <w:tcPr>
            <w:tcW w:type="dxa" w:w="20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3–5/10</w:t>
            </w:r>
          </w:p>
        </w:tc>
      </w:tr>
      <w:tr>
        <w:tc>
          <w:tcPr>
            <w:tcW w:type="dxa" w:w="9360"/>
            <w:gridSpan w:val="4"/>
            <w:tcBorders>
              <w:top w:val="single" w:color="999999" w:sz="1"/>
              <w:left w:val="single" w:color="999999" w:sz="1"/>
              <w:bottom w:val="single" w:color="999999" w:sz="1"/>
              <w:right w:val="single" w:color="999999" w:sz="1"/>
            </w:tcBorders>
            <w:shd w:fill="D6E4F0" w:val="clear"/>
          </w:tcPr>
          <w:p>
            <w:pPr>
              <w:spacing w:after="60" w:before="60"/>
              <w:ind w:left="100"/>
            </w:pPr>
            <w:r>
              <w:rPr>
                <w:rFonts w:ascii="Arial" w:cs="Arial" w:eastAsia="Arial" w:hAnsi="Arial"/>
                <w:b/>
                <w:bCs/>
                <w:color w:val="1F3864"/>
                <w:sz w:val="18"/>
                <w:szCs w:val="18"/>
              </w:rPr>
              <w:t xml:space="preserve">REDUCED FREQUENCY TREATMENT (2x/week → 1x/week)</w:t>
            </w:r>
          </w:p>
        </w:tc>
      </w:tr>
      <w:tr>
        <w:tc>
          <w:tcPr>
            <w:tcW w:type="dxa" w:w="14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08/21/2023</w:t>
            </w:r>
          </w:p>
        </w:tc>
        <w:tc>
          <w:tcPr>
            <w:tcW w:type="dxa" w:w="18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Follow-up treatment. Assessment: improved. Moderate spasms. Tx: CMT, electrical stimulation, intersegmental traction, hot/cold packs, ultrasound. FINAL VISIT at 3x/week frequency.</w:t>
            </w:r>
          </w:p>
        </w:tc>
        <w:tc>
          <w:tcPr>
            <w:tcW w:type="dxa" w:w="20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3/10</w:t>
            </w:r>
          </w:p>
        </w:tc>
      </w:tr>
      <w:tr>
        <w:tc>
          <w:tcPr>
            <w:tcW w:type="dxa" w:w="14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08/28/2023</w:t>
            </w:r>
          </w:p>
        </w:tc>
        <w:tc>
          <w:tcPr>
            <w:tcW w:type="dxa" w:w="18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Follow-up treatment (reduced frequency). Moderate spasms persist. Tx: CMT, electrical stimulation, intersegmental traction, hot/cold packs, ultrasound.</w:t>
            </w:r>
          </w:p>
        </w:tc>
        <w:tc>
          <w:tcPr>
            <w:tcW w:type="dxa" w:w="20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3–4/10</w:t>
            </w:r>
          </w:p>
        </w:tc>
      </w:tr>
      <w:tr>
        <w:tc>
          <w:tcPr>
            <w:tcW w:type="dxa" w:w="14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09/06/2023</w:t>
            </w:r>
          </w:p>
        </w:tc>
        <w:tc>
          <w:tcPr>
            <w:tcW w:type="dxa" w:w="18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Follow-up treatment. Cervical and lumbar pain continues. Moderate spasms. Tx: CMT, electrical stimulation, intersegmental traction, hot/cold packs, ultrasound.</w:t>
            </w:r>
          </w:p>
        </w:tc>
        <w:tc>
          <w:tcPr>
            <w:tcW w:type="dxa" w:w="20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3–4/10</w:t>
            </w:r>
          </w:p>
        </w:tc>
      </w:tr>
      <w:tr>
        <w:tc>
          <w:tcPr>
            <w:tcW w:type="dxa" w:w="14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09/08/2023</w:t>
            </w:r>
          </w:p>
        </w:tc>
        <w:tc>
          <w:tcPr>
            <w:tcW w:type="dxa" w:w="18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Follow-up treatment. Moderate spasms. Tx: CMT, electrical stimulation, intersegmental traction, hot/cold packs, ultrasound.</w:t>
            </w:r>
          </w:p>
        </w:tc>
        <w:tc>
          <w:tcPr>
            <w:tcW w:type="dxa" w:w="20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3/10</w:t>
            </w:r>
          </w:p>
        </w:tc>
      </w:tr>
      <w:tr>
        <w:tc>
          <w:tcPr>
            <w:tcW w:type="dxa" w:w="14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09/11/2023</w:t>
            </w:r>
          </w:p>
        </w:tc>
        <w:tc>
          <w:tcPr>
            <w:tcW w:type="dxa" w:w="18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Follow-up treatment. Insurance payment of $840.00 applied (9/12). Moderate spasms. Tx: CMT, electrical stimulation, intersegmental traction, hot/cold packs.</w:t>
            </w:r>
          </w:p>
        </w:tc>
        <w:tc>
          <w:tcPr>
            <w:tcW w:type="dxa" w:w="20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3/10</w:t>
            </w:r>
          </w:p>
        </w:tc>
      </w:tr>
      <w:tr>
        <w:tc>
          <w:tcPr>
            <w:tcW w:type="dxa" w:w="14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09/15/2023</w:t>
            </w:r>
          </w:p>
        </w:tc>
        <w:tc>
          <w:tcPr>
            <w:tcW w:type="dxa" w:w="18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Follow-up treatment. Moderate spasms. Tx: CMT, electrical stimulation, intersegmental traction, hot/cold packs.</w:t>
            </w:r>
          </w:p>
        </w:tc>
        <w:tc>
          <w:tcPr>
            <w:tcW w:type="dxa" w:w="20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3/10</w:t>
            </w:r>
          </w:p>
        </w:tc>
      </w:tr>
      <w:tr>
        <w:tc>
          <w:tcPr>
            <w:tcW w:type="dxa" w:w="14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09/20/2023</w:t>
            </w:r>
          </w:p>
        </w:tc>
        <w:tc>
          <w:tcPr>
            <w:tcW w:type="dxa" w:w="18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Follow-up treatment. Cervical/lumbar pain. Moderate spasms. Tx: CMT, electrical stimulation, intersegmental traction, hot/cold packs.</w:t>
            </w:r>
          </w:p>
        </w:tc>
        <w:tc>
          <w:tcPr>
            <w:tcW w:type="dxa" w:w="20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3/10</w:t>
            </w:r>
          </w:p>
        </w:tc>
      </w:tr>
      <w:tr>
        <w:tc>
          <w:tcPr>
            <w:tcW w:type="dxa" w:w="14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09/22/2023</w:t>
            </w:r>
          </w:p>
        </w:tc>
        <w:tc>
          <w:tcPr>
            <w:tcW w:type="dxa" w:w="18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Follow-up treatment. Moderate spasms. Tx: CMT, electrical stimulation, intersegmental traction, hot/cold packs.</w:t>
            </w:r>
          </w:p>
        </w:tc>
        <w:tc>
          <w:tcPr>
            <w:tcW w:type="dxa" w:w="20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3/10</w:t>
            </w:r>
          </w:p>
        </w:tc>
      </w:tr>
      <w:tr>
        <w:tc>
          <w:tcPr>
            <w:tcW w:type="dxa" w:w="14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09/25/2023</w:t>
            </w:r>
          </w:p>
        </w:tc>
        <w:tc>
          <w:tcPr>
            <w:tcW w:type="dxa" w:w="18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Follow-up treatment. Moderate spasms. Tx: CMT, electrical stimulation, intersegmental traction, hot/cold packs.</w:t>
            </w:r>
          </w:p>
        </w:tc>
        <w:tc>
          <w:tcPr>
            <w:tcW w:type="dxa" w:w="20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3/10</w:t>
            </w:r>
          </w:p>
        </w:tc>
      </w:tr>
      <w:tr>
        <w:tc>
          <w:tcPr>
            <w:tcW w:type="dxa" w:w="14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09/29/2023</w:t>
            </w:r>
          </w:p>
        </w:tc>
        <w:tc>
          <w:tcPr>
            <w:tcW w:type="dxa" w:w="18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Follow-up treatment. Moderate spasms. Assessment: improved. Tx: CMT, electrical stimulation, intersegmental traction, hot/cold packs.</w:t>
            </w:r>
          </w:p>
        </w:tc>
        <w:tc>
          <w:tcPr>
            <w:tcW w:type="dxa" w:w="20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2–3/10</w:t>
            </w:r>
          </w:p>
        </w:tc>
      </w:tr>
      <w:tr>
        <w:tc>
          <w:tcPr>
            <w:tcW w:type="dxa" w:w="14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10/02/2023</w:t>
            </w:r>
          </w:p>
        </w:tc>
        <w:tc>
          <w:tcPr>
            <w:tcW w:type="dxa" w:w="18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Follow-up treatment. Moderate spasms. Tx: CMT, electrical stimulation, intersegmental traction, hot/cold packs.</w:t>
            </w:r>
          </w:p>
        </w:tc>
        <w:tc>
          <w:tcPr>
            <w:tcW w:type="dxa" w:w="20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3/10</w:t>
            </w:r>
          </w:p>
        </w:tc>
      </w:tr>
      <w:tr>
        <w:tc>
          <w:tcPr>
            <w:tcW w:type="dxa" w:w="14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10/04/2023</w:t>
            </w:r>
          </w:p>
        </w:tc>
        <w:tc>
          <w:tcPr>
            <w:tcW w:type="dxa" w:w="18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Follow-up treatment. Moderate spasms. Tx: CMT, electrical stimulation, intersegmental traction, hot/cold packs.</w:t>
            </w:r>
          </w:p>
        </w:tc>
        <w:tc>
          <w:tcPr>
            <w:tcW w:type="dxa" w:w="20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3/10</w:t>
            </w:r>
          </w:p>
        </w:tc>
      </w:tr>
      <w:tr>
        <w:tc>
          <w:tcPr>
            <w:tcW w:type="dxa" w:w="14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10/09/2023</w:t>
            </w:r>
          </w:p>
        </w:tc>
        <w:tc>
          <w:tcPr>
            <w:tcW w:type="dxa" w:w="18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Follow-up treatment. Moderate spasms. Tx: CMT, electrical stimulation, intersegmental traction, hot/cold packs.</w:t>
            </w:r>
          </w:p>
        </w:tc>
        <w:tc>
          <w:tcPr>
            <w:tcW w:type="dxa" w:w="20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2–3/10</w:t>
            </w:r>
          </w:p>
        </w:tc>
      </w:tr>
      <w:tr>
        <w:tc>
          <w:tcPr>
            <w:tcW w:type="dxa" w:w="14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10/11/2023</w:t>
            </w:r>
          </w:p>
        </w:tc>
        <w:tc>
          <w:tcPr>
            <w:tcW w:type="dxa" w:w="18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Follow-up treatment. Moderate spasms. Tx: CMT, electrical stimulation, intersegmental traction, hot/cold packs.</w:t>
            </w:r>
          </w:p>
        </w:tc>
        <w:tc>
          <w:tcPr>
            <w:tcW w:type="dxa" w:w="20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2–3/10</w:t>
            </w:r>
          </w:p>
        </w:tc>
      </w:tr>
      <w:tr>
        <w:tc>
          <w:tcPr>
            <w:tcW w:type="dxa" w:w="14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10/16/2023</w:t>
            </w:r>
          </w:p>
        </w:tc>
        <w:tc>
          <w:tcPr>
            <w:tcW w:type="dxa" w:w="18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Follow-up treatment. Insurance payment of $650.00 applied. Moderate spasms. Tx: CMT, electrical stimulation, intersegmental traction, hot/cold packs.</w:t>
            </w:r>
          </w:p>
        </w:tc>
        <w:tc>
          <w:tcPr>
            <w:tcW w:type="dxa" w:w="20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2–3/10</w:t>
            </w:r>
          </w:p>
        </w:tc>
      </w:tr>
      <w:tr>
        <w:tc>
          <w:tcPr>
            <w:tcW w:type="dxa" w:w="14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10/20/2023</w:t>
            </w:r>
          </w:p>
        </w:tc>
        <w:tc>
          <w:tcPr>
            <w:tcW w:type="dxa" w:w="18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Follow-up treatment. Insurance payment of $100.00 applied. Moderate spasms. Tx: CMT, electrical stimulation, intersegmental traction, hot/cold packs.</w:t>
            </w:r>
          </w:p>
        </w:tc>
        <w:tc>
          <w:tcPr>
            <w:tcW w:type="dxa" w:w="20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2–3/10</w:t>
            </w:r>
          </w:p>
        </w:tc>
      </w:tr>
      <w:tr>
        <w:tc>
          <w:tcPr>
            <w:tcW w:type="dxa" w:w="14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10/23/2023</w:t>
            </w:r>
          </w:p>
        </w:tc>
        <w:tc>
          <w:tcPr>
            <w:tcW w:type="dxa" w:w="18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Follow-up treatment. Moderate spasms. Tx: CMT, electrical stimulation, intersegmental traction, hot/cold packs.</w:t>
            </w:r>
          </w:p>
        </w:tc>
        <w:tc>
          <w:tcPr>
            <w:tcW w:type="dxa" w:w="20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2–3/10</w:t>
            </w:r>
          </w:p>
        </w:tc>
      </w:tr>
      <w:tr>
        <w:tc>
          <w:tcPr>
            <w:tcW w:type="dxa" w:w="14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10/27/2023</w:t>
            </w:r>
          </w:p>
        </w:tc>
        <w:tc>
          <w:tcPr>
            <w:tcW w:type="dxa" w:w="18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Follow-up treatment. Moderate spasms. Tx: CMT, electrical stimulation, intersegmental traction, hot/cold packs.</w:t>
            </w:r>
          </w:p>
        </w:tc>
        <w:tc>
          <w:tcPr>
            <w:tcW w:type="dxa" w:w="20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2–3/10</w:t>
            </w:r>
          </w:p>
        </w:tc>
      </w:tr>
      <w:tr>
        <w:tc>
          <w:tcPr>
            <w:tcW w:type="dxa" w:w="14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11/03/2023</w:t>
            </w:r>
          </w:p>
        </w:tc>
        <w:tc>
          <w:tcPr>
            <w:tcW w:type="dxa" w:w="18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Follow-up treatment. Moderate spasms. Tx: CMT, electrical stimulation, intersegmental traction, hot/cold packs.</w:t>
            </w:r>
          </w:p>
        </w:tc>
        <w:tc>
          <w:tcPr>
            <w:tcW w:type="dxa" w:w="20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2–3/10</w:t>
            </w:r>
          </w:p>
        </w:tc>
      </w:tr>
      <w:tr>
        <w:tc>
          <w:tcPr>
            <w:tcW w:type="dxa" w:w="14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11/08/2023</w:t>
            </w:r>
          </w:p>
        </w:tc>
        <w:tc>
          <w:tcPr>
            <w:tcW w:type="dxa" w:w="18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Follow-up treatment. Moderate spasms. Tx: CMT, electrical stimulation, intersegmental traction, hot/cold packs.</w:t>
            </w:r>
          </w:p>
        </w:tc>
        <w:tc>
          <w:tcPr>
            <w:tcW w:type="dxa" w:w="20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2–3/10</w:t>
            </w:r>
          </w:p>
        </w:tc>
      </w:tr>
      <w:tr>
        <w:tc>
          <w:tcPr>
            <w:tcW w:type="dxa" w:w="14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11/13/2023</w:t>
            </w:r>
          </w:p>
        </w:tc>
        <w:tc>
          <w:tcPr>
            <w:tcW w:type="dxa" w:w="18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Follow-up treatment. Insurance payment of $270.00 applied. Moderate spasms. Tx: CMT, electrical stimulation, intersegmental traction, hot/cold packs.</w:t>
            </w:r>
          </w:p>
        </w:tc>
        <w:tc>
          <w:tcPr>
            <w:tcW w:type="dxa" w:w="20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2–3/10</w:t>
            </w:r>
          </w:p>
        </w:tc>
      </w:tr>
      <w:tr>
        <w:tc>
          <w:tcPr>
            <w:tcW w:type="dxa" w:w="14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11/20/2023</w:t>
            </w:r>
          </w:p>
        </w:tc>
        <w:tc>
          <w:tcPr>
            <w:tcW w:type="dxa" w:w="18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Follow-up treatment. Moderate spasms. Tx: CMT, electrical stimulation, intersegmental traction, hot/cold packs.</w:t>
            </w:r>
          </w:p>
        </w:tc>
        <w:tc>
          <w:tcPr>
            <w:tcW w:type="dxa" w:w="20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2–3/10</w:t>
            </w:r>
          </w:p>
        </w:tc>
      </w:tr>
      <w:tr>
        <w:tc>
          <w:tcPr>
            <w:tcW w:type="dxa" w:w="9360"/>
            <w:gridSpan w:val="4"/>
            <w:tcBorders>
              <w:top w:val="single" w:color="999999" w:sz="1"/>
              <w:left w:val="single" w:color="999999" w:sz="1"/>
              <w:bottom w:val="single" w:color="999999" w:sz="1"/>
              <w:right w:val="single" w:color="999999" w:sz="1"/>
            </w:tcBorders>
            <w:shd w:fill="D6E4F0" w:val="clear"/>
          </w:tcPr>
          <w:p>
            <w:pPr>
              <w:spacing w:after="60" w:before="60"/>
              <w:ind w:left="100"/>
            </w:pPr>
            <w:r>
              <w:rPr>
                <w:rFonts w:ascii="Arial" w:cs="Arial" w:eastAsia="Arial" w:hAnsi="Arial"/>
                <w:b/>
                <w:bCs/>
                <w:color w:val="1F3864"/>
                <w:sz w:val="18"/>
                <w:szCs w:val="18"/>
              </w:rPr>
              <w:t xml:space="preserve">MAINTENANCE / PRN TREATMENT (Biweekly with Decompression)</w:t>
            </w:r>
          </w:p>
        </w:tc>
      </w:tr>
      <w:tr>
        <w:tc>
          <w:tcPr>
            <w:tcW w:type="dxa" w:w="14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12/04/2023</w:t>
            </w:r>
          </w:p>
        </w:tc>
        <w:tc>
          <w:tcPr>
            <w:tcW w:type="dxa" w:w="18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Follow-up treatment. Moderate spasms. Treatment frequency reduced to 1x/week. Tx: CMT, electrical stimulation, intersegmental traction, hot/cold packs.</w:t>
            </w:r>
          </w:p>
        </w:tc>
        <w:tc>
          <w:tcPr>
            <w:tcW w:type="dxa" w:w="20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2–3/10</w:t>
            </w:r>
          </w:p>
        </w:tc>
      </w:tr>
      <w:tr>
        <w:tc>
          <w:tcPr>
            <w:tcW w:type="dxa" w:w="14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12/11/2023</w:t>
            </w:r>
          </w:p>
        </w:tc>
        <w:tc>
          <w:tcPr>
            <w:tcW w:type="dxa" w:w="18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Follow-up treatment. Moderate spasms. Tx: CMT, electrical stimulation, intersegmental traction, hot/cold packs.</w:t>
            </w:r>
          </w:p>
        </w:tc>
        <w:tc>
          <w:tcPr>
            <w:tcW w:type="dxa" w:w="20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2–3/10</w:t>
            </w:r>
          </w:p>
        </w:tc>
      </w:tr>
      <w:tr>
        <w:tc>
          <w:tcPr>
            <w:tcW w:type="dxa" w:w="14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01/03/2024</w:t>
            </w:r>
          </w:p>
        </w:tc>
        <w:tc>
          <w:tcPr>
            <w:tcW w:type="dxa" w:w="18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Follow-up treatment. Treatment frequency reduced to PRN/biweekly. Moderate spasms persist. Tx: CMT, electrical stimulation, intersegmental traction, hot/cold packs.</w:t>
            </w:r>
          </w:p>
        </w:tc>
        <w:tc>
          <w:tcPr>
            <w:tcW w:type="dxa" w:w="20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2–3/10</w:t>
            </w:r>
          </w:p>
        </w:tc>
      </w:tr>
      <w:tr>
        <w:tc>
          <w:tcPr>
            <w:tcW w:type="dxa" w:w="14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01/17/2024</w:t>
            </w:r>
          </w:p>
        </w:tc>
        <w:tc>
          <w:tcPr>
            <w:tcW w:type="dxa" w:w="18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Follow-up treatment. Moderate spasms. Tx: CMT, electrical stimulation, intersegmental traction, hot/cold packs.</w:t>
            </w:r>
          </w:p>
        </w:tc>
        <w:tc>
          <w:tcPr>
            <w:tcW w:type="dxa" w:w="20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2–3/10</w:t>
            </w:r>
          </w:p>
        </w:tc>
      </w:tr>
      <w:tr>
        <w:tc>
          <w:tcPr>
            <w:tcW w:type="dxa" w:w="14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01/31/2024</w:t>
            </w:r>
          </w:p>
        </w:tc>
        <w:tc>
          <w:tcPr>
            <w:tcW w:type="dxa" w:w="18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Follow-up treatment. Moderate spasms. Tx: CMT, electrical stimulation, intersegmental traction, hot/cold packs.</w:t>
            </w:r>
          </w:p>
        </w:tc>
        <w:tc>
          <w:tcPr>
            <w:tcW w:type="dxa" w:w="20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2–3/10</w:t>
            </w:r>
          </w:p>
        </w:tc>
      </w:tr>
      <w:tr>
        <w:tc>
          <w:tcPr>
            <w:tcW w:type="dxa" w:w="14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02/14/2024</w:t>
            </w:r>
          </w:p>
        </w:tc>
        <w:tc>
          <w:tcPr>
            <w:tcW w:type="dxa" w:w="18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Follow-up treatment. Moderate spasms. Tx: CMT, electrical stimulation, intersegmental traction, hot/cold packs.</w:t>
            </w:r>
          </w:p>
        </w:tc>
        <w:tc>
          <w:tcPr>
            <w:tcW w:type="dxa" w:w="20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2–3/10</w:t>
            </w:r>
          </w:p>
        </w:tc>
      </w:tr>
      <w:tr>
        <w:tc>
          <w:tcPr>
            <w:tcW w:type="dxa" w:w="14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03/06/2024</w:t>
            </w:r>
          </w:p>
        </w:tc>
        <w:tc>
          <w:tcPr>
            <w:tcW w:type="dxa" w:w="18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Follow-up treatment. Moderate spasms. Tx: CMT, electrical stimulation, intersegmental traction, hot/cold packs. NEW: Vertebral axial decompression added to treatment.</w:t>
            </w:r>
          </w:p>
        </w:tc>
        <w:tc>
          <w:tcPr>
            <w:tcW w:type="dxa" w:w="2000"/>
            <w:tcBorders>
              <w:top w:val="single" w:color="999999" w:sz="1"/>
              <w:left w:val="single" w:color="999999" w:sz="1"/>
              <w:bottom w:val="single" w:color="999999" w:sz="1"/>
              <w:right w:val="single" w:color="999999" w:sz="1"/>
            </w:tcBorders>
            <w:shd w:fill="FFFFFF" w:val="clear"/>
            <w:vAlign w:val="top"/>
          </w:tcPr>
          <w:p>
            <w:pPr>
              <w:spacing w:after="40" w:before="40"/>
              <w:ind w:left="60" w:right="60"/>
            </w:pPr>
            <w:r>
              <w:rPr>
                <w:rFonts w:ascii="Arial" w:cs="Arial" w:eastAsia="Arial" w:hAnsi="Arial"/>
                <w:sz w:val="17"/>
                <w:szCs w:val="17"/>
              </w:rPr>
              <w:t xml:space="preserve">2–3/10</w:t>
            </w:r>
          </w:p>
        </w:tc>
      </w:tr>
      <w:tr>
        <w:tc>
          <w:tcPr>
            <w:tcW w:type="dxa" w:w="14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04/03/2024</w:t>
            </w:r>
          </w:p>
        </w:tc>
        <w:tc>
          <w:tcPr>
            <w:tcW w:type="dxa" w:w="18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Southgate Chiropractic</w:t>
            </w:r>
          </w:p>
        </w:tc>
        <w:tc>
          <w:tcPr>
            <w:tcW w:type="dxa" w:w="416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Follow-up treatment. FINAL VISIT on file. Moderate spasms. Tx: CMT, electrical stimulation, intersegmental traction, hot/cold packs, vertebral axial decompression.</w:t>
            </w:r>
          </w:p>
        </w:tc>
        <w:tc>
          <w:tcPr>
            <w:tcW w:type="dxa" w:w="2000"/>
            <w:tcBorders>
              <w:top w:val="single" w:color="999999" w:sz="1"/>
              <w:left w:val="single" w:color="999999" w:sz="1"/>
              <w:bottom w:val="single" w:color="999999" w:sz="1"/>
              <w:right w:val="single" w:color="999999" w:sz="1"/>
            </w:tcBorders>
            <w:shd w:fill="F2F2F2" w:val="clear"/>
            <w:vAlign w:val="top"/>
          </w:tcPr>
          <w:p>
            <w:pPr>
              <w:spacing w:after="40" w:before="40"/>
              <w:ind w:left="60" w:right="60"/>
            </w:pPr>
            <w:r>
              <w:rPr>
                <w:rFonts w:ascii="Arial" w:cs="Arial" w:eastAsia="Arial" w:hAnsi="Arial"/>
                <w:sz w:val="17"/>
                <w:szCs w:val="17"/>
              </w:rPr>
              <w:t xml:space="preserve">2–3/10</w:t>
            </w:r>
          </w:p>
        </w:tc>
      </w:tr>
    </w:tbl>
    <w:p>
      <w:r>
        <w:br w:type="page"/>
      </w:r>
    </w:p>
    <w:p>
      <w:pPr>
        <w:pStyle w:val="Heading1"/>
      </w:pPr>
      <w:r>
        <w:t xml:space="preserve">Pain Progression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1F3864" w:val="clear"/>
          </w:tcPr>
          <w:p>
            <w:pPr>
              <w:spacing w:after="60" w:before="60"/>
              <w:jc w:val="center"/>
            </w:pPr>
            <w:r>
              <w:rPr>
                <w:rFonts w:ascii="Arial" w:cs="Arial" w:eastAsia="Arial" w:hAnsi="Arial"/>
                <w:b/>
                <w:bCs/>
                <w:color w:val="FFFFFF"/>
                <w:sz w:val="18"/>
                <w:szCs w:val="18"/>
              </w:rPr>
              <w:t xml:space="preserve">Period</w:t>
            </w:r>
          </w:p>
        </w:tc>
        <w:tc>
          <w:tcPr>
            <w:tcW w:type="dxa" w:w="2340"/>
            <w:tcBorders>
              <w:top w:val="single" w:color="999999" w:sz="1"/>
              <w:left w:val="single" w:color="999999" w:sz="1"/>
              <w:bottom w:val="single" w:color="999999" w:sz="1"/>
              <w:right w:val="single" w:color="999999" w:sz="1"/>
            </w:tcBorders>
            <w:shd w:fill="1F3864" w:val="clear"/>
          </w:tcPr>
          <w:p>
            <w:pPr>
              <w:spacing w:after="60" w:before="60"/>
              <w:jc w:val="center"/>
            </w:pPr>
            <w:r>
              <w:rPr>
                <w:rFonts w:ascii="Arial" w:cs="Arial" w:eastAsia="Arial" w:hAnsi="Arial"/>
                <w:b/>
                <w:bCs/>
                <w:color w:val="FFFFFF"/>
                <w:sz w:val="18"/>
                <w:szCs w:val="18"/>
              </w:rPr>
              <w:t xml:space="preserve">Pain Range</w:t>
            </w:r>
          </w:p>
        </w:tc>
        <w:tc>
          <w:tcPr>
            <w:tcW w:type="dxa" w:w="2340"/>
            <w:tcBorders>
              <w:top w:val="single" w:color="999999" w:sz="1"/>
              <w:left w:val="single" w:color="999999" w:sz="1"/>
              <w:bottom w:val="single" w:color="999999" w:sz="1"/>
              <w:right w:val="single" w:color="999999" w:sz="1"/>
            </w:tcBorders>
            <w:shd w:fill="1F3864" w:val="clear"/>
          </w:tcPr>
          <w:p>
            <w:pPr>
              <w:spacing w:after="60" w:before="60"/>
              <w:jc w:val="center"/>
            </w:pPr>
            <w:r>
              <w:rPr>
                <w:rFonts w:ascii="Arial" w:cs="Arial" w:eastAsia="Arial" w:hAnsi="Arial"/>
                <w:b/>
                <w:bCs/>
                <w:color w:val="FFFFFF"/>
                <w:sz w:val="18"/>
                <w:szCs w:val="18"/>
              </w:rPr>
              <w:t xml:space="preserve">Spasm Severity</w:t>
            </w:r>
          </w:p>
        </w:tc>
        <w:tc>
          <w:tcPr>
            <w:tcW w:type="dxa" w:w="2340"/>
            <w:tcBorders>
              <w:top w:val="single" w:color="999999" w:sz="1"/>
              <w:left w:val="single" w:color="999999" w:sz="1"/>
              <w:bottom w:val="single" w:color="999999" w:sz="1"/>
              <w:right w:val="single" w:color="999999" w:sz="1"/>
            </w:tcBorders>
            <w:shd w:fill="1F3864" w:val="clear"/>
          </w:tcPr>
          <w:p>
            <w:pPr>
              <w:spacing w:after="60" w:before="60"/>
              <w:jc w:val="center"/>
            </w:pPr>
            <w:r>
              <w:rPr>
                <w:rFonts w:ascii="Arial" w:cs="Arial" w:eastAsia="Arial" w:hAnsi="Arial"/>
                <w:b/>
                <w:bCs/>
                <w:color w:val="FFFFFF"/>
                <w:sz w:val="18"/>
                <w:szCs w:val="18"/>
              </w:rPr>
              <w:t xml:space="preserve">Frequency</w:t>
            </w:r>
          </w:p>
        </w:tc>
      </w:tr>
      <w:tr>
        <w:tc>
          <w:tcPr>
            <w:tcW w:type="dxa" w:w="2340"/>
            <w:tcBorders>
              <w:top w:val="single" w:color="999999" w:sz="1"/>
              <w:left w:val="single" w:color="999999" w:sz="1"/>
              <w:bottom w:val="single" w:color="999999" w:sz="1"/>
              <w:right w:val="single" w:color="999999" w:sz="1"/>
            </w:tcBorders>
            <w:shd w:fill="FFFFFF" w:val="clear"/>
          </w:tcPr>
          <w:p>
            <w:pPr>
              <w:spacing w:after="40" w:before="40"/>
              <w:jc w:val="center"/>
            </w:pPr>
            <w:r>
              <w:rPr>
                <w:rFonts w:ascii="Arial" w:cs="Arial" w:eastAsia="Arial" w:hAnsi="Arial"/>
                <w:b/>
                <w:bCs/>
                <w:sz w:val="17"/>
                <w:szCs w:val="17"/>
              </w:rPr>
              <w:t xml:space="preserve">Apr 2023</w:t>
            </w:r>
          </w:p>
        </w:tc>
        <w:tc>
          <w:tcPr>
            <w:tcW w:type="dxa" w:w="2340"/>
            <w:tcBorders>
              <w:top w:val="single" w:color="999999" w:sz="1"/>
              <w:left w:val="single" w:color="999999" w:sz="1"/>
              <w:bottom w:val="single" w:color="999999" w:sz="1"/>
              <w:right w:val="single" w:color="999999" w:sz="1"/>
            </w:tcBorders>
            <w:shd w:fill="FFFFFF" w:val="clear"/>
          </w:tcPr>
          <w:p>
            <w:pPr>
              <w:spacing w:after="40" w:before="40"/>
              <w:jc w:val="center"/>
            </w:pPr>
            <w:r>
              <w:rPr>
                <w:rFonts w:ascii="Arial" w:cs="Arial" w:eastAsia="Arial" w:hAnsi="Arial"/>
                <w:b w:val="false"/>
                <w:bCs w:val="false"/>
                <w:sz w:val="17"/>
                <w:szCs w:val="17"/>
              </w:rPr>
              <w:t xml:space="preserve">6–7/10</w:t>
            </w:r>
          </w:p>
        </w:tc>
        <w:tc>
          <w:tcPr>
            <w:tcW w:type="dxa" w:w="2340"/>
            <w:tcBorders>
              <w:top w:val="single" w:color="999999" w:sz="1"/>
              <w:left w:val="single" w:color="999999" w:sz="1"/>
              <w:bottom w:val="single" w:color="999999" w:sz="1"/>
              <w:right w:val="single" w:color="999999" w:sz="1"/>
            </w:tcBorders>
            <w:shd w:fill="FFFFFF" w:val="clear"/>
          </w:tcPr>
          <w:p>
            <w:pPr>
              <w:spacing w:after="40" w:before="40"/>
              <w:jc w:val="center"/>
            </w:pPr>
            <w:r>
              <w:rPr>
                <w:rFonts w:ascii="Arial" w:cs="Arial" w:eastAsia="Arial" w:hAnsi="Arial"/>
                <w:b w:val="false"/>
                <w:bCs w:val="false"/>
                <w:sz w:val="17"/>
                <w:szCs w:val="17"/>
              </w:rPr>
              <w:t xml:space="preserve">Moderate–Severe</w:t>
            </w:r>
          </w:p>
        </w:tc>
        <w:tc>
          <w:tcPr>
            <w:tcW w:type="dxa" w:w="2340"/>
            <w:tcBorders>
              <w:top w:val="single" w:color="999999" w:sz="1"/>
              <w:left w:val="single" w:color="999999" w:sz="1"/>
              <w:bottom w:val="single" w:color="999999" w:sz="1"/>
              <w:right w:val="single" w:color="999999" w:sz="1"/>
            </w:tcBorders>
            <w:shd w:fill="FFFFFF" w:val="clear"/>
          </w:tcPr>
          <w:p>
            <w:pPr>
              <w:spacing w:after="40" w:before="40"/>
              <w:jc w:val="center"/>
            </w:pPr>
            <w:r>
              <w:rPr>
                <w:rFonts w:ascii="Arial" w:cs="Arial" w:eastAsia="Arial" w:hAnsi="Arial"/>
                <w:b w:val="false"/>
                <w:bCs w:val="false"/>
                <w:sz w:val="17"/>
                <w:szCs w:val="17"/>
              </w:rPr>
              <w:t xml:space="preserve">3x/week</w:t>
            </w:r>
          </w:p>
        </w:tc>
      </w:tr>
      <w:tr>
        <w:tc>
          <w:tcPr>
            <w:tcW w:type="dxa" w:w="2340"/>
            <w:tcBorders>
              <w:top w:val="single" w:color="999999" w:sz="1"/>
              <w:left w:val="single" w:color="999999" w:sz="1"/>
              <w:bottom w:val="single" w:color="999999" w:sz="1"/>
              <w:right w:val="single" w:color="999999" w:sz="1"/>
            </w:tcBorders>
            <w:shd w:fill="F2F2F2" w:val="clear"/>
          </w:tcPr>
          <w:p>
            <w:pPr>
              <w:spacing w:after="40" w:before="40"/>
              <w:jc w:val="center"/>
            </w:pPr>
            <w:r>
              <w:rPr>
                <w:rFonts w:ascii="Arial" w:cs="Arial" w:eastAsia="Arial" w:hAnsi="Arial"/>
                <w:b/>
                <w:bCs/>
                <w:sz w:val="17"/>
                <w:szCs w:val="17"/>
              </w:rPr>
              <w:t xml:space="preserve">May 2023</w:t>
            </w:r>
          </w:p>
        </w:tc>
        <w:tc>
          <w:tcPr>
            <w:tcW w:type="dxa" w:w="2340"/>
            <w:tcBorders>
              <w:top w:val="single" w:color="999999" w:sz="1"/>
              <w:left w:val="single" w:color="999999" w:sz="1"/>
              <w:bottom w:val="single" w:color="999999" w:sz="1"/>
              <w:right w:val="single" w:color="999999" w:sz="1"/>
            </w:tcBorders>
            <w:shd w:fill="F2F2F2" w:val="clear"/>
          </w:tcPr>
          <w:p>
            <w:pPr>
              <w:spacing w:after="40" w:before="40"/>
              <w:jc w:val="center"/>
            </w:pPr>
            <w:r>
              <w:rPr>
                <w:rFonts w:ascii="Arial" w:cs="Arial" w:eastAsia="Arial" w:hAnsi="Arial"/>
                <w:b w:val="false"/>
                <w:bCs w:val="false"/>
                <w:sz w:val="17"/>
                <w:szCs w:val="17"/>
              </w:rPr>
              <w:t xml:space="preserve">5–6/10</w:t>
            </w:r>
          </w:p>
        </w:tc>
        <w:tc>
          <w:tcPr>
            <w:tcW w:type="dxa" w:w="2340"/>
            <w:tcBorders>
              <w:top w:val="single" w:color="999999" w:sz="1"/>
              <w:left w:val="single" w:color="999999" w:sz="1"/>
              <w:bottom w:val="single" w:color="999999" w:sz="1"/>
              <w:right w:val="single" w:color="999999" w:sz="1"/>
            </w:tcBorders>
            <w:shd w:fill="F2F2F2" w:val="clear"/>
          </w:tcPr>
          <w:p>
            <w:pPr>
              <w:spacing w:after="40" w:before="40"/>
              <w:jc w:val="center"/>
            </w:pPr>
            <w:r>
              <w:rPr>
                <w:rFonts w:ascii="Arial" w:cs="Arial" w:eastAsia="Arial" w:hAnsi="Arial"/>
                <w:b w:val="false"/>
                <w:bCs w:val="false"/>
                <w:sz w:val="17"/>
                <w:szCs w:val="17"/>
              </w:rPr>
              <w:t xml:space="preserve">Moderate</w:t>
            </w:r>
          </w:p>
        </w:tc>
        <w:tc>
          <w:tcPr>
            <w:tcW w:type="dxa" w:w="2340"/>
            <w:tcBorders>
              <w:top w:val="single" w:color="999999" w:sz="1"/>
              <w:left w:val="single" w:color="999999" w:sz="1"/>
              <w:bottom w:val="single" w:color="999999" w:sz="1"/>
              <w:right w:val="single" w:color="999999" w:sz="1"/>
            </w:tcBorders>
            <w:shd w:fill="F2F2F2" w:val="clear"/>
          </w:tcPr>
          <w:p>
            <w:pPr>
              <w:spacing w:after="40" w:before="40"/>
              <w:jc w:val="center"/>
            </w:pPr>
            <w:r>
              <w:rPr>
                <w:rFonts w:ascii="Arial" w:cs="Arial" w:eastAsia="Arial" w:hAnsi="Arial"/>
                <w:b w:val="false"/>
                <w:bCs w:val="false"/>
                <w:sz w:val="17"/>
                <w:szCs w:val="17"/>
              </w:rPr>
              <w:t xml:space="preserve">3x/week</w:t>
            </w:r>
          </w:p>
        </w:tc>
      </w:tr>
      <w:tr>
        <w:tc>
          <w:tcPr>
            <w:tcW w:type="dxa" w:w="2340"/>
            <w:tcBorders>
              <w:top w:val="single" w:color="999999" w:sz="1"/>
              <w:left w:val="single" w:color="999999" w:sz="1"/>
              <w:bottom w:val="single" w:color="999999" w:sz="1"/>
              <w:right w:val="single" w:color="999999" w:sz="1"/>
            </w:tcBorders>
            <w:shd w:fill="FFFFFF" w:val="clear"/>
          </w:tcPr>
          <w:p>
            <w:pPr>
              <w:spacing w:after="40" w:before="40"/>
              <w:jc w:val="center"/>
            </w:pPr>
            <w:r>
              <w:rPr>
                <w:rFonts w:ascii="Arial" w:cs="Arial" w:eastAsia="Arial" w:hAnsi="Arial"/>
                <w:b/>
                <w:bCs/>
                <w:sz w:val="17"/>
                <w:szCs w:val="17"/>
              </w:rPr>
              <w:t xml:space="preserve">Jun 2023</w:t>
            </w:r>
          </w:p>
        </w:tc>
        <w:tc>
          <w:tcPr>
            <w:tcW w:type="dxa" w:w="2340"/>
            <w:tcBorders>
              <w:top w:val="single" w:color="999999" w:sz="1"/>
              <w:left w:val="single" w:color="999999" w:sz="1"/>
              <w:bottom w:val="single" w:color="999999" w:sz="1"/>
              <w:right w:val="single" w:color="999999" w:sz="1"/>
            </w:tcBorders>
            <w:shd w:fill="FFFFFF" w:val="clear"/>
          </w:tcPr>
          <w:p>
            <w:pPr>
              <w:spacing w:after="40" w:before="40"/>
              <w:jc w:val="center"/>
            </w:pPr>
            <w:r>
              <w:rPr>
                <w:rFonts w:ascii="Arial" w:cs="Arial" w:eastAsia="Arial" w:hAnsi="Arial"/>
                <w:b w:val="false"/>
                <w:bCs w:val="false"/>
                <w:sz w:val="17"/>
                <w:szCs w:val="17"/>
              </w:rPr>
              <w:t xml:space="preserve">4–5/10</w:t>
            </w:r>
          </w:p>
        </w:tc>
        <w:tc>
          <w:tcPr>
            <w:tcW w:type="dxa" w:w="2340"/>
            <w:tcBorders>
              <w:top w:val="single" w:color="999999" w:sz="1"/>
              <w:left w:val="single" w:color="999999" w:sz="1"/>
              <w:bottom w:val="single" w:color="999999" w:sz="1"/>
              <w:right w:val="single" w:color="999999" w:sz="1"/>
            </w:tcBorders>
            <w:shd w:fill="FFFFFF" w:val="clear"/>
          </w:tcPr>
          <w:p>
            <w:pPr>
              <w:spacing w:after="40" w:before="40"/>
              <w:jc w:val="center"/>
            </w:pPr>
            <w:r>
              <w:rPr>
                <w:rFonts w:ascii="Arial" w:cs="Arial" w:eastAsia="Arial" w:hAnsi="Arial"/>
                <w:b w:val="false"/>
                <w:bCs w:val="false"/>
                <w:sz w:val="17"/>
                <w:szCs w:val="17"/>
              </w:rPr>
              <w:t xml:space="preserve">Moderate</w:t>
            </w:r>
          </w:p>
        </w:tc>
        <w:tc>
          <w:tcPr>
            <w:tcW w:type="dxa" w:w="2340"/>
            <w:tcBorders>
              <w:top w:val="single" w:color="999999" w:sz="1"/>
              <w:left w:val="single" w:color="999999" w:sz="1"/>
              <w:bottom w:val="single" w:color="999999" w:sz="1"/>
              <w:right w:val="single" w:color="999999" w:sz="1"/>
            </w:tcBorders>
            <w:shd w:fill="FFFFFF" w:val="clear"/>
          </w:tcPr>
          <w:p>
            <w:pPr>
              <w:spacing w:after="40" w:before="40"/>
              <w:jc w:val="center"/>
            </w:pPr>
            <w:r>
              <w:rPr>
                <w:rFonts w:ascii="Arial" w:cs="Arial" w:eastAsia="Arial" w:hAnsi="Arial"/>
                <w:b w:val="false"/>
                <w:bCs w:val="false"/>
                <w:sz w:val="17"/>
                <w:szCs w:val="17"/>
              </w:rPr>
              <w:t xml:space="preserve">3x/week</w:t>
            </w:r>
          </w:p>
        </w:tc>
      </w:tr>
      <w:tr>
        <w:tc>
          <w:tcPr>
            <w:tcW w:type="dxa" w:w="2340"/>
            <w:tcBorders>
              <w:top w:val="single" w:color="999999" w:sz="1"/>
              <w:left w:val="single" w:color="999999" w:sz="1"/>
              <w:bottom w:val="single" w:color="999999" w:sz="1"/>
              <w:right w:val="single" w:color="999999" w:sz="1"/>
            </w:tcBorders>
            <w:shd w:fill="F2F2F2" w:val="clear"/>
          </w:tcPr>
          <w:p>
            <w:pPr>
              <w:spacing w:after="40" w:before="40"/>
              <w:jc w:val="center"/>
            </w:pPr>
            <w:r>
              <w:rPr>
                <w:rFonts w:ascii="Arial" w:cs="Arial" w:eastAsia="Arial" w:hAnsi="Arial"/>
                <w:b/>
                <w:bCs/>
                <w:sz w:val="17"/>
                <w:szCs w:val="17"/>
              </w:rPr>
              <w:t xml:space="preserve">Jul 2023</w:t>
            </w:r>
          </w:p>
        </w:tc>
        <w:tc>
          <w:tcPr>
            <w:tcW w:type="dxa" w:w="2340"/>
            <w:tcBorders>
              <w:top w:val="single" w:color="999999" w:sz="1"/>
              <w:left w:val="single" w:color="999999" w:sz="1"/>
              <w:bottom w:val="single" w:color="999999" w:sz="1"/>
              <w:right w:val="single" w:color="999999" w:sz="1"/>
            </w:tcBorders>
            <w:shd w:fill="F2F2F2" w:val="clear"/>
          </w:tcPr>
          <w:p>
            <w:pPr>
              <w:spacing w:after="40" w:before="40"/>
              <w:jc w:val="center"/>
            </w:pPr>
            <w:r>
              <w:rPr>
                <w:rFonts w:ascii="Arial" w:cs="Arial" w:eastAsia="Arial" w:hAnsi="Arial"/>
                <w:b w:val="false"/>
                <w:bCs w:val="false"/>
                <w:sz w:val="17"/>
                <w:szCs w:val="17"/>
              </w:rPr>
              <w:t xml:space="preserve">3–5/10</w:t>
            </w:r>
          </w:p>
        </w:tc>
        <w:tc>
          <w:tcPr>
            <w:tcW w:type="dxa" w:w="2340"/>
            <w:tcBorders>
              <w:top w:val="single" w:color="999999" w:sz="1"/>
              <w:left w:val="single" w:color="999999" w:sz="1"/>
              <w:bottom w:val="single" w:color="999999" w:sz="1"/>
              <w:right w:val="single" w:color="999999" w:sz="1"/>
            </w:tcBorders>
            <w:shd w:fill="F2F2F2" w:val="clear"/>
          </w:tcPr>
          <w:p>
            <w:pPr>
              <w:spacing w:after="40" w:before="40"/>
              <w:jc w:val="center"/>
            </w:pPr>
            <w:r>
              <w:rPr>
                <w:rFonts w:ascii="Arial" w:cs="Arial" w:eastAsia="Arial" w:hAnsi="Arial"/>
                <w:b w:val="false"/>
                <w:bCs w:val="false"/>
                <w:sz w:val="17"/>
                <w:szCs w:val="17"/>
              </w:rPr>
              <w:t xml:space="preserve">Moderate</w:t>
            </w:r>
          </w:p>
        </w:tc>
        <w:tc>
          <w:tcPr>
            <w:tcW w:type="dxa" w:w="2340"/>
            <w:tcBorders>
              <w:top w:val="single" w:color="999999" w:sz="1"/>
              <w:left w:val="single" w:color="999999" w:sz="1"/>
              <w:bottom w:val="single" w:color="999999" w:sz="1"/>
              <w:right w:val="single" w:color="999999" w:sz="1"/>
            </w:tcBorders>
            <w:shd w:fill="F2F2F2" w:val="clear"/>
          </w:tcPr>
          <w:p>
            <w:pPr>
              <w:spacing w:after="40" w:before="40"/>
              <w:jc w:val="center"/>
            </w:pPr>
            <w:r>
              <w:rPr>
                <w:rFonts w:ascii="Arial" w:cs="Arial" w:eastAsia="Arial" w:hAnsi="Arial"/>
                <w:b w:val="false"/>
                <w:bCs w:val="false"/>
                <w:sz w:val="17"/>
                <w:szCs w:val="17"/>
              </w:rPr>
              <w:t xml:space="preserve">3x → 2x/week</w:t>
            </w:r>
          </w:p>
        </w:tc>
      </w:tr>
      <w:tr>
        <w:tc>
          <w:tcPr>
            <w:tcW w:type="dxa" w:w="2340"/>
            <w:tcBorders>
              <w:top w:val="single" w:color="999999" w:sz="1"/>
              <w:left w:val="single" w:color="999999" w:sz="1"/>
              <w:bottom w:val="single" w:color="999999" w:sz="1"/>
              <w:right w:val="single" w:color="999999" w:sz="1"/>
            </w:tcBorders>
            <w:shd w:fill="FFFFFF" w:val="clear"/>
          </w:tcPr>
          <w:p>
            <w:pPr>
              <w:spacing w:after="40" w:before="40"/>
              <w:jc w:val="center"/>
            </w:pPr>
            <w:r>
              <w:rPr>
                <w:rFonts w:ascii="Arial" w:cs="Arial" w:eastAsia="Arial" w:hAnsi="Arial"/>
                <w:b/>
                <w:bCs/>
                <w:sz w:val="17"/>
                <w:szCs w:val="17"/>
              </w:rPr>
              <w:t xml:space="preserve">Aug 2023</w:t>
            </w:r>
          </w:p>
        </w:tc>
        <w:tc>
          <w:tcPr>
            <w:tcW w:type="dxa" w:w="2340"/>
            <w:tcBorders>
              <w:top w:val="single" w:color="999999" w:sz="1"/>
              <w:left w:val="single" w:color="999999" w:sz="1"/>
              <w:bottom w:val="single" w:color="999999" w:sz="1"/>
              <w:right w:val="single" w:color="999999" w:sz="1"/>
            </w:tcBorders>
            <w:shd w:fill="FFFFFF" w:val="clear"/>
          </w:tcPr>
          <w:p>
            <w:pPr>
              <w:spacing w:after="40" w:before="40"/>
              <w:jc w:val="center"/>
            </w:pPr>
            <w:r>
              <w:rPr>
                <w:rFonts w:ascii="Arial" w:cs="Arial" w:eastAsia="Arial" w:hAnsi="Arial"/>
                <w:b w:val="false"/>
                <w:bCs w:val="false"/>
                <w:sz w:val="17"/>
                <w:szCs w:val="17"/>
              </w:rPr>
              <w:t xml:space="preserve">3–4/10</w:t>
            </w:r>
          </w:p>
        </w:tc>
        <w:tc>
          <w:tcPr>
            <w:tcW w:type="dxa" w:w="2340"/>
            <w:tcBorders>
              <w:top w:val="single" w:color="999999" w:sz="1"/>
              <w:left w:val="single" w:color="999999" w:sz="1"/>
              <w:bottom w:val="single" w:color="999999" w:sz="1"/>
              <w:right w:val="single" w:color="999999" w:sz="1"/>
            </w:tcBorders>
            <w:shd w:fill="FFFFFF" w:val="clear"/>
          </w:tcPr>
          <w:p>
            <w:pPr>
              <w:spacing w:after="40" w:before="40"/>
              <w:jc w:val="center"/>
            </w:pPr>
            <w:r>
              <w:rPr>
                <w:rFonts w:ascii="Arial" w:cs="Arial" w:eastAsia="Arial" w:hAnsi="Arial"/>
                <w:b w:val="false"/>
                <w:bCs w:val="false"/>
                <w:sz w:val="17"/>
                <w:szCs w:val="17"/>
              </w:rPr>
              <w:t xml:space="preserve">Moderate</w:t>
            </w:r>
          </w:p>
        </w:tc>
        <w:tc>
          <w:tcPr>
            <w:tcW w:type="dxa" w:w="2340"/>
            <w:tcBorders>
              <w:top w:val="single" w:color="999999" w:sz="1"/>
              <w:left w:val="single" w:color="999999" w:sz="1"/>
              <w:bottom w:val="single" w:color="999999" w:sz="1"/>
              <w:right w:val="single" w:color="999999" w:sz="1"/>
            </w:tcBorders>
            <w:shd w:fill="FFFFFF" w:val="clear"/>
          </w:tcPr>
          <w:p>
            <w:pPr>
              <w:spacing w:after="40" w:before="40"/>
              <w:jc w:val="center"/>
            </w:pPr>
            <w:r>
              <w:rPr>
                <w:rFonts w:ascii="Arial" w:cs="Arial" w:eastAsia="Arial" w:hAnsi="Arial"/>
                <w:b w:val="false"/>
                <w:bCs w:val="false"/>
                <w:sz w:val="17"/>
                <w:szCs w:val="17"/>
              </w:rPr>
              <w:t xml:space="preserve">2x/week</w:t>
            </w:r>
          </w:p>
        </w:tc>
      </w:tr>
      <w:tr>
        <w:tc>
          <w:tcPr>
            <w:tcW w:type="dxa" w:w="2340"/>
            <w:tcBorders>
              <w:top w:val="single" w:color="999999" w:sz="1"/>
              <w:left w:val="single" w:color="999999" w:sz="1"/>
              <w:bottom w:val="single" w:color="999999" w:sz="1"/>
              <w:right w:val="single" w:color="999999" w:sz="1"/>
            </w:tcBorders>
            <w:shd w:fill="F2F2F2" w:val="clear"/>
          </w:tcPr>
          <w:p>
            <w:pPr>
              <w:spacing w:after="40" w:before="40"/>
              <w:jc w:val="center"/>
            </w:pPr>
            <w:r>
              <w:rPr>
                <w:rFonts w:ascii="Arial" w:cs="Arial" w:eastAsia="Arial" w:hAnsi="Arial"/>
                <w:b/>
                <w:bCs/>
                <w:sz w:val="17"/>
                <w:szCs w:val="17"/>
              </w:rPr>
              <w:t xml:space="preserve">Sep–Oct 2023</w:t>
            </w:r>
          </w:p>
        </w:tc>
        <w:tc>
          <w:tcPr>
            <w:tcW w:type="dxa" w:w="2340"/>
            <w:tcBorders>
              <w:top w:val="single" w:color="999999" w:sz="1"/>
              <w:left w:val="single" w:color="999999" w:sz="1"/>
              <w:bottom w:val="single" w:color="999999" w:sz="1"/>
              <w:right w:val="single" w:color="999999" w:sz="1"/>
            </w:tcBorders>
            <w:shd w:fill="F2F2F2" w:val="clear"/>
          </w:tcPr>
          <w:p>
            <w:pPr>
              <w:spacing w:after="40" w:before="40"/>
              <w:jc w:val="center"/>
            </w:pPr>
            <w:r>
              <w:rPr>
                <w:rFonts w:ascii="Arial" w:cs="Arial" w:eastAsia="Arial" w:hAnsi="Arial"/>
                <w:b w:val="false"/>
                <w:bCs w:val="false"/>
                <w:sz w:val="17"/>
                <w:szCs w:val="17"/>
              </w:rPr>
              <w:t xml:space="preserve">2–3/10</w:t>
            </w:r>
          </w:p>
        </w:tc>
        <w:tc>
          <w:tcPr>
            <w:tcW w:type="dxa" w:w="2340"/>
            <w:tcBorders>
              <w:top w:val="single" w:color="999999" w:sz="1"/>
              <w:left w:val="single" w:color="999999" w:sz="1"/>
              <w:bottom w:val="single" w:color="999999" w:sz="1"/>
              <w:right w:val="single" w:color="999999" w:sz="1"/>
            </w:tcBorders>
            <w:shd w:fill="F2F2F2" w:val="clear"/>
          </w:tcPr>
          <w:p>
            <w:pPr>
              <w:spacing w:after="40" w:before="40"/>
              <w:jc w:val="center"/>
            </w:pPr>
            <w:r>
              <w:rPr>
                <w:rFonts w:ascii="Arial" w:cs="Arial" w:eastAsia="Arial" w:hAnsi="Arial"/>
                <w:b w:val="false"/>
                <w:bCs w:val="false"/>
                <w:sz w:val="17"/>
                <w:szCs w:val="17"/>
              </w:rPr>
              <w:t xml:space="preserve">Moderate</w:t>
            </w:r>
          </w:p>
        </w:tc>
        <w:tc>
          <w:tcPr>
            <w:tcW w:type="dxa" w:w="2340"/>
            <w:tcBorders>
              <w:top w:val="single" w:color="999999" w:sz="1"/>
              <w:left w:val="single" w:color="999999" w:sz="1"/>
              <w:bottom w:val="single" w:color="999999" w:sz="1"/>
              <w:right w:val="single" w:color="999999" w:sz="1"/>
            </w:tcBorders>
            <w:shd w:fill="F2F2F2" w:val="clear"/>
          </w:tcPr>
          <w:p>
            <w:pPr>
              <w:spacing w:after="40" w:before="40"/>
              <w:jc w:val="center"/>
            </w:pPr>
            <w:r>
              <w:rPr>
                <w:rFonts w:ascii="Arial" w:cs="Arial" w:eastAsia="Arial" w:hAnsi="Arial"/>
                <w:b w:val="false"/>
                <w:bCs w:val="false"/>
                <w:sz w:val="17"/>
                <w:szCs w:val="17"/>
              </w:rPr>
              <w:t xml:space="preserve">2x/week</w:t>
            </w:r>
          </w:p>
        </w:tc>
      </w:tr>
      <w:tr>
        <w:tc>
          <w:tcPr>
            <w:tcW w:type="dxa" w:w="2340"/>
            <w:tcBorders>
              <w:top w:val="single" w:color="999999" w:sz="1"/>
              <w:left w:val="single" w:color="999999" w:sz="1"/>
              <w:bottom w:val="single" w:color="999999" w:sz="1"/>
              <w:right w:val="single" w:color="999999" w:sz="1"/>
            </w:tcBorders>
            <w:shd w:fill="FFFFFF" w:val="clear"/>
          </w:tcPr>
          <w:p>
            <w:pPr>
              <w:spacing w:after="40" w:before="40"/>
              <w:jc w:val="center"/>
            </w:pPr>
            <w:r>
              <w:rPr>
                <w:rFonts w:ascii="Arial" w:cs="Arial" w:eastAsia="Arial" w:hAnsi="Arial"/>
                <w:b/>
                <w:bCs/>
                <w:sz w:val="17"/>
                <w:szCs w:val="17"/>
              </w:rPr>
              <w:t xml:space="preserve">Nov–Dec 2023</w:t>
            </w:r>
          </w:p>
        </w:tc>
        <w:tc>
          <w:tcPr>
            <w:tcW w:type="dxa" w:w="2340"/>
            <w:tcBorders>
              <w:top w:val="single" w:color="999999" w:sz="1"/>
              <w:left w:val="single" w:color="999999" w:sz="1"/>
              <w:bottom w:val="single" w:color="999999" w:sz="1"/>
              <w:right w:val="single" w:color="999999" w:sz="1"/>
            </w:tcBorders>
            <w:shd w:fill="FFFFFF" w:val="clear"/>
          </w:tcPr>
          <w:p>
            <w:pPr>
              <w:spacing w:after="40" w:before="40"/>
              <w:jc w:val="center"/>
            </w:pPr>
            <w:r>
              <w:rPr>
                <w:rFonts w:ascii="Arial" w:cs="Arial" w:eastAsia="Arial" w:hAnsi="Arial"/>
                <w:b w:val="false"/>
                <w:bCs w:val="false"/>
                <w:sz w:val="17"/>
                <w:szCs w:val="17"/>
              </w:rPr>
              <w:t xml:space="preserve">2–3/10</w:t>
            </w:r>
          </w:p>
        </w:tc>
        <w:tc>
          <w:tcPr>
            <w:tcW w:type="dxa" w:w="2340"/>
            <w:tcBorders>
              <w:top w:val="single" w:color="999999" w:sz="1"/>
              <w:left w:val="single" w:color="999999" w:sz="1"/>
              <w:bottom w:val="single" w:color="999999" w:sz="1"/>
              <w:right w:val="single" w:color="999999" w:sz="1"/>
            </w:tcBorders>
            <w:shd w:fill="FFFFFF" w:val="clear"/>
          </w:tcPr>
          <w:p>
            <w:pPr>
              <w:spacing w:after="40" w:before="40"/>
              <w:jc w:val="center"/>
            </w:pPr>
            <w:r>
              <w:rPr>
                <w:rFonts w:ascii="Arial" w:cs="Arial" w:eastAsia="Arial" w:hAnsi="Arial"/>
                <w:b w:val="false"/>
                <w:bCs w:val="false"/>
                <w:sz w:val="17"/>
                <w:szCs w:val="17"/>
              </w:rPr>
              <w:t xml:space="preserve">Moderate</w:t>
            </w:r>
          </w:p>
        </w:tc>
        <w:tc>
          <w:tcPr>
            <w:tcW w:type="dxa" w:w="2340"/>
            <w:tcBorders>
              <w:top w:val="single" w:color="999999" w:sz="1"/>
              <w:left w:val="single" w:color="999999" w:sz="1"/>
              <w:bottom w:val="single" w:color="999999" w:sz="1"/>
              <w:right w:val="single" w:color="999999" w:sz="1"/>
            </w:tcBorders>
            <w:shd w:fill="FFFFFF" w:val="clear"/>
          </w:tcPr>
          <w:p>
            <w:pPr>
              <w:spacing w:after="40" w:before="40"/>
              <w:jc w:val="center"/>
            </w:pPr>
            <w:r>
              <w:rPr>
                <w:rFonts w:ascii="Arial" w:cs="Arial" w:eastAsia="Arial" w:hAnsi="Arial"/>
                <w:b w:val="false"/>
                <w:bCs w:val="false"/>
                <w:sz w:val="17"/>
                <w:szCs w:val="17"/>
              </w:rPr>
              <w:t xml:space="preserve">1x/week</w:t>
            </w:r>
          </w:p>
        </w:tc>
      </w:tr>
      <w:tr>
        <w:tc>
          <w:tcPr>
            <w:tcW w:type="dxa" w:w="2340"/>
            <w:tcBorders>
              <w:top w:val="single" w:color="999999" w:sz="1"/>
              <w:left w:val="single" w:color="999999" w:sz="1"/>
              <w:bottom w:val="single" w:color="999999" w:sz="1"/>
              <w:right w:val="single" w:color="999999" w:sz="1"/>
            </w:tcBorders>
            <w:shd w:fill="F2F2F2" w:val="clear"/>
          </w:tcPr>
          <w:p>
            <w:pPr>
              <w:spacing w:after="40" w:before="40"/>
              <w:jc w:val="center"/>
            </w:pPr>
            <w:r>
              <w:rPr>
                <w:rFonts w:ascii="Arial" w:cs="Arial" w:eastAsia="Arial" w:hAnsi="Arial"/>
                <w:b/>
                <w:bCs/>
                <w:sz w:val="17"/>
                <w:szCs w:val="17"/>
              </w:rPr>
              <w:t xml:space="preserve">Jan–Apr 2024</w:t>
            </w:r>
          </w:p>
        </w:tc>
        <w:tc>
          <w:tcPr>
            <w:tcW w:type="dxa" w:w="2340"/>
            <w:tcBorders>
              <w:top w:val="single" w:color="999999" w:sz="1"/>
              <w:left w:val="single" w:color="999999" w:sz="1"/>
              <w:bottom w:val="single" w:color="999999" w:sz="1"/>
              <w:right w:val="single" w:color="999999" w:sz="1"/>
            </w:tcBorders>
            <w:shd w:fill="F2F2F2" w:val="clear"/>
          </w:tcPr>
          <w:p>
            <w:pPr>
              <w:spacing w:after="40" w:before="40"/>
              <w:jc w:val="center"/>
            </w:pPr>
            <w:r>
              <w:rPr>
                <w:rFonts w:ascii="Arial" w:cs="Arial" w:eastAsia="Arial" w:hAnsi="Arial"/>
                <w:b w:val="false"/>
                <w:bCs w:val="false"/>
                <w:sz w:val="17"/>
                <w:szCs w:val="17"/>
              </w:rPr>
              <w:t xml:space="preserve">2–3/10</w:t>
            </w:r>
          </w:p>
        </w:tc>
        <w:tc>
          <w:tcPr>
            <w:tcW w:type="dxa" w:w="2340"/>
            <w:tcBorders>
              <w:top w:val="single" w:color="999999" w:sz="1"/>
              <w:left w:val="single" w:color="999999" w:sz="1"/>
              <w:bottom w:val="single" w:color="999999" w:sz="1"/>
              <w:right w:val="single" w:color="999999" w:sz="1"/>
            </w:tcBorders>
            <w:shd w:fill="F2F2F2" w:val="clear"/>
          </w:tcPr>
          <w:p>
            <w:pPr>
              <w:spacing w:after="40" w:before="40"/>
              <w:jc w:val="center"/>
            </w:pPr>
            <w:r>
              <w:rPr>
                <w:rFonts w:ascii="Arial" w:cs="Arial" w:eastAsia="Arial" w:hAnsi="Arial"/>
                <w:b w:val="false"/>
                <w:bCs w:val="false"/>
                <w:sz w:val="17"/>
                <w:szCs w:val="17"/>
              </w:rPr>
              <w:t xml:space="preserve">Moderate</w:t>
            </w:r>
          </w:p>
        </w:tc>
        <w:tc>
          <w:tcPr>
            <w:tcW w:type="dxa" w:w="2340"/>
            <w:tcBorders>
              <w:top w:val="single" w:color="999999" w:sz="1"/>
              <w:left w:val="single" w:color="999999" w:sz="1"/>
              <w:bottom w:val="single" w:color="999999" w:sz="1"/>
              <w:right w:val="single" w:color="999999" w:sz="1"/>
            </w:tcBorders>
            <w:shd w:fill="F2F2F2" w:val="clear"/>
          </w:tcPr>
          <w:p>
            <w:pPr>
              <w:spacing w:after="40" w:before="40"/>
              <w:jc w:val="center"/>
            </w:pPr>
            <w:r>
              <w:rPr>
                <w:rFonts w:ascii="Arial" w:cs="Arial" w:eastAsia="Arial" w:hAnsi="Arial"/>
                <w:b w:val="false"/>
                <w:bCs w:val="false"/>
                <w:sz w:val="17"/>
                <w:szCs w:val="17"/>
              </w:rPr>
              <w:t xml:space="preserve">Biweekly/PRN</w:t>
            </w:r>
          </w:p>
        </w:tc>
      </w:tr>
      <w:tr>
        <w:tc>
          <w:tcPr>
            <w:tcW w:type="dxa" w:w="2340"/>
            <w:tcBorders>
              <w:top w:val="single" w:color="999999" w:sz="1"/>
              <w:left w:val="single" w:color="999999" w:sz="1"/>
              <w:bottom w:val="single" w:color="999999" w:sz="1"/>
              <w:right w:val="single" w:color="999999" w:sz="1"/>
            </w:tcBorders>
            <w:shd w:fill="FFFFFF" w:val="clear"/>
          </w:tcPr>
          <w:p>
            <w:pPr>
              <w:spacing w:after="40" w:before="40"/>
              <w:jc w:val="center"/>
            </w:pPr>
            <w:r>
              <w:rPr>
                <w:rFonts w:ascii="Arial" w:cs="Arial" w:eastAsia="Arial" w:hAnsi="Arial"/>
                <w:b/>
                <w:bCs/>
                <w:sz w:val="17"/>
                <w:szCs w:val="17"/>
              </w:rPr>
              <w:t xml:space="preserve">Present</w:t>
            </w:r>
          </w:p>
        </w:tc>
        <w:tc>
          <w:tcPr>
            <w:tcW w:type="dxa" w:w="2340"/>
            <w:tcBorders>
              <w:top w:val="single" w:color="999999" w:sz="1"/>
              <w:left w:val="single" w:color="999999" w:sz="1"/>
              <w:bottom w:val="single" w:color="999999" w:sz="1"/>
              <w:right w:val="single" w:color="999999" w:sz="1"/>
            </w:tcBorders>
            <w:shd w:fill="FFFFFF" w:val="clear"/>
          </w:tcPr>
          <w:p>
            <w:pPr>
              <w:spacing w:after="40" w:before="40"/>
              <w:jc w:val="center"/>
            </w:pPr>
            <w:r>
              <w:rPr>
                <w:rFonts w:ascii="Arial" w:cs="Arial" w:eastAsia="Arial" w:hAnsi="Arial"/>
                <w:b w:val="false"/>
                <w:bCs w:val="false"/>
                <w:sz w:val="17"/>
                <w:szCs w:val="17"/>
              </w:rPr>
              <w:t xml:space="preserve">Mild residual</w:t>
            </w:r>
          </w:p>
        </w:tc>
        <w:tc>
          <w:tcPr>
            <w:tcW w:type="dxa" w:w="2340"/>
            <w:tcBorders>
              <w:top w:val="single" w:color="999999" w:sz="1"/>
              <w:left w:val="single" w:color="999999" w:sz="1"/>
              <w:bottom w:val="single" w:color="999999" w:sz="1"/>
              <w:right w:val="single" w:color="999999" w:sz="1"/>
            </w:tcBorders>
            <w:shd w:fill="FFFFFF" w:val="clear"/>
          </w:tcPr>
          <w:p>
            <w:pPr>
              <w:spacing w:after="40" w:before="40"/>
              <w:jc w:val="center"/>
            </w:pPr>
            <w:r>
              <w:rPr>
                <w:rFonts w:ascii="Arial" w:cs="Arial" w:eastAsia="Arial" w:hAnsi="Arial"/>
                <w:b w:val="false"/>
                <w:bCs w:val="false"/>
                <w:sz w:val="17"/>
                <w:szCs w:val="17"/>
              </w:rPr>
              <w:t xml:space="preserve">—</w:t>
            </w:r>
          </w:p>
        </w:tc>
        <w:tc>
          <w:tcPr>
            <w:tcW w:type="dxa" w:w="2340"/>
            <w:tcBorders>
              <w:top w:val="single" w:color="999999" w:sz="1"/>
              <w:left w:val="single" w:color="999999" w:sz="1"/>
              <w:bottom w:val="single" w:color="999999" w:sz="1"/>
              <w:right w:val="single" w:color="999999" w:sz="1"/>
            </w:tcBorders>
            <w:shd w:fill="FFFFFF" w:val="clear"/>
          </w:tcPr>
          <w:p>
            <w:pPr>
              <w:spacing w:after="40" w:before="40"/>
              <w:jc w:val="center"/>
            </w:pPr>
            <w:r>
              <w:rPr>
                <w:rFonts w:ascii="Arial" w:cs="Arial" w:eastAsia="Arial" w:hAnsi="Arial"/>
                <w:b w:val="false"/>
                <w:bCs w:val="false"/>
                <w:sz w:val="17"/>
                <w:szCs w:val="17"/>
              </w:rPr>
              <w:t xml:space="preserve">HEP + OTC meds</w:t>
            </w:r>
          </w:p>
        </w:tc>
      </w:tr>
    </w:tbl>
    <w:p>
      <w:pPr>
        <w:spacing w:before="200"/>
      </w:pPr>
    </w:p>
    <w:p>
      <w:pPr>
        <w:spacing w:after="60"/>
      </w:pPr>
      <w:r>
        <w:rPr>
          <w:rFonts w:ascii="Arial" w:cs="Arial" w:eastAsia="Arial" w:hAnsi="Arial"/>
          <w:color w:val="999999"/>
          <w:sz w:val="17"/>
          <w:szCs w:val="17"/>
        </w:rPr>
        <w:t xml:space="preserve">Prepared: </w:t>
      </w:r>
      <w:r>
        <w:rPr>
          <w:rFonts w:ascii="Arial" w:cs="Arial" w:eastAsia="Arial" w:hAnsi="Arial"/>
          <w:color w:val="999999"/>
          <w:sz w:val="17"/>
          <w:szCs w:val="17"/>
        </w:rPr>
        <w:t xml:space="preserve">March 6, 2026</w:t>
      </w:r>
    </w:p>
    <w:p>
      <w:r>
        <w:rPr>
          <w:rFonts w:ascii="Arial" w:cs="Arial" w:eastAsia="Arial" w:hAnsi="Arial"/>
          <w:color w:val="999999"/>
          <w:sz w:val="17"/>
          <w:szCs w:val="17"/>
        </w:rPr>
        <w:t xml:space="preserve">Whaley Law Firm, PSC — 712 Lyndon Lane, Louisville, KY 40222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Neltner v. Cohara — Boone Circuit 24-CI-00452 — Page </w:t>
    </w:r>
    <w:r>
      <w:rPr>
        <w:rFonts w:ascii="Arial" w:cs="Arial" w:eastAsia="Arial" w:hAnsi="Arial"/>
        <w:color w:val="999999"/>
        <w:sz w:val="14"/>
        <w:szCs w:val="14"/>
      </w:rPr>
      <w:fldChar w:fldCharType="begin"/>
      <w:instrText xml:space="preserve">PAGE</w:instrText>
      <w:fldChar w:fldCharType="separate"/>
      <w:fldChar w:fldCharType="end"/>
    </w:r>
    <w:r>
      <w:rPr>
        <w:rFonts w:ascii="Arial" w:cs="Arial" w:eastAsia="Arial" w:hAnsi="Arial"/>
        <w:color w:val="999999"/>
        <w:sz w:val="14"/>
        <w:szCs w:val="14"/>
      </w:rPr>
      <w:t xml:space="preserve"> of </w:t>
    </w:r>
    <w:r>
      <w:rPr>
        <w:rFonts w:ascii="Arial" w:cs="Arial" w:eastAsia="Arial" w:hAnsi="Arial"/>
        <w:color w:val="99999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i/>
        <w:iCs/>
        <w:color w:val="999999"/>
        <w:sz w:val="14"/>
        <w:szCs w:val="14"/>
      </w:rPr>
      <w:t xml:space="preserve">CONFIDENTIAL — ATTORNEY WORK PRODUCT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0"/>
      <w:jc w:val="center"/>
    </w:pPr>
    <w:rPr>
      <w:rFonts w:ascii="Arial" w:cs="Arial" w:eastAsia="Arial" w:hAnsi="Arial"/>
      <w:b/>
      <w:bCs/>
      <w:color w:val="1F3864"/>
      <w:sz w:val="36"/>
      <w:szCs w:val="36"/>
    </w:rPr>
  </w:style>
  <w:style w:type="paragraph" w:styleId="Heading1">
    <w:name w:val="Heading 1"/>
    <w:basedOn w:val="Normal"/>
    <w:next w:val="Normal"/>
    <w:qFormat/>
    <w:pPr>
      <w:spacing w:after="120" w:before="240"/>
    </w:pPr>
    <w:rPr>
      <w:rFonts w:ascii="Arial" w:cs="Arial" w:eastAsia="Arial" w:hAnsi="Arial"/>
      <w:b/>
      <w:bCs/>
      <w:color w:val="1F3864"/>
      <w:sz w:val="26"/>
      <w:szCs w:val="26"/>
    </w:rPr>
  </w:style>
  <w:style w:type="paragraph" w:styleId="Heading2">
    <w:name w:val="Heading 2"/>
    <w:basedOn w:val="Normal"/>
    <w:next w:val="Normal"/>
    <w:qFormat/>
    <w:pPr>
      <w:spacing w:after="100" w:before="180"/>
    </w:pPr>
    <w:rPr>
      <w:rFonts w:ascii="Arial" w:cs="Arial" w:eastAsia="Arial" w:hAnsi="Arial"/>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2026-03-06T18:51:06.203Z</dcterms:created>
  <dcterms:modified xsi:type="dcterms:W3CDTF">2026-03-06T18:51:06.204Z</dcterms:modified>
</cp:coreProperties>
</file>

<file path=docProps/custom.xml><?xml version="1.0" encoding="utf-8"?>
<Properties xmlns="http://schemas.openxmlformats.org/officeDocument/2006/custom-properties" xmlns:vt="http://schemas.openxmlformats.org/officeDocument/2006/docPropsVTypes"/>
</file>