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0626" w:rsidRDefault="00220626" w:rsidP="00220626">
      <w:r w:rsidRPr="006A048A">
        <w:t>NO.</w:t>
      </w:r>
      <w:r w:rsidR="008A3659">
        <w:t>14-CI-3907</w:t>
      </w:r>
      <w:r>
        <w:tab/>
      </w:r>
      <w:r>
        <w:tab/>
      </w:r>
      <w:r>
        <w:tab/>
        <w:t xml:space="preserve">       </w:t>
      </w:r>
      <w:r w:rsidRPr="006A048A">
        <w:t xml:space="preserve"> </w:t>
      </w:r>
      <w:r>
        <w:t xml:space="preserve">    </w:t>
      </w:r>
      <w:r w:rsidRPr="006A048A">
        <w:t xml:space="preserve"> </w:t>
      </w:r>
      <w:r>
        <w:t xml:space="preserve">                             JEFFERSON CIRCUIT COURT</w:t>
      </w:r>
    </w:p>
    <w:p w:rsidR="00220626" w:rsidRDefault="00220626" w:rsidP="008A3659">
      <w:pPr>
        <w:ind w:left="5040" w:firstLine="720"/>
        <w:jc w:val="right"/>
      </w:pPr>
      <w:r>
        <w:t xml:space="preserve">      </w:t>
      </w:r>
      <w:r w:rsidR="008A3659">
        <w:t xml:space="preserve">                DIVISON FOUR (4</w:t>
      </w:r>
      <w:r>
        <w:t>)</w:t>
      </w:r>
    </w:p>
    <w:p w:rsidR="00220626" w:rsidRDefault="00220626" w:rsidP="00220626">
      <w:pPr>
        <w:ind w:firstLine="720"/>
        <w:jc w:val="center"/>
      </w:pPr>
      <w:r>
        <w:t xml:space="preserve">                                                       </w:t>
      </w:r>
      <w:r w:rsidR="008A3659">
        <w:t xml:space="preserve">                       JUDGE CHARLES L. CUNNINGHAM</w:t>
      </w:r>
    </w:p>
    <w:p w:rsidR="00220626" w:rsidRPr="006A048A" w:rsidRDefault="00220626" w:rsidP="00220626">
      <w:r>
        <w:t xml:space="preserve">                                                                                                                                                              </w:t>
      </w:r>
    </w:p>
    <w:p w:rsidR="00220626" w:rsidRPr="006A048A" w:rsidRDefault="008A3659" w:rsidP="00220626">
      <w:r>
        <w:t xml:space="preserve">JASON T. FISHER               </w:t>
      </w:r>
      <w:r w:rsidR="00220626">
        <w:t xml:space="preserve">                                                              </w:t>
      </w:r>
      <w:r>
        <w:t xml:space="preserve">                           </w:t>
      </w:r>
      <w:r w:rsidR="00220626" w:rsidRPr="006A048A">
        <w:t>PLAINTIFF</w:t>
      </w:r>
    </w:p>
    <w:p w:rsidR="00220626" w:rsidRDefault="00220626" w:rsidP="00220626"/>
    <w:p w:rsidR="00220626" w:rsidRPr="006A048A" w:rsidRDefault="00220626" w:rsidP="00220626">
      <w:r w:rsidRPr="006A048A">
        <w:t>v.</w:t>
      </w:r>
      <w:r w:rsidR="002528C4">
        <w:tab/>
        <w:t xml:space="preserve">     </w:t>
      </w:r>
      <w:r w:rsidR="002A3773">
        <w:t xml:space="preserve">         </w:t>
      </w:r>
      <w:r w:rsidR="002A3773">
        <w:rPr>
          <w:b/>
        </w:rPr>
        <w:t>PLAINTIFF</w:t>
      </w:r>
      <w:r w:rsidR="008D7CF4">
        <w:rPr>
          <w:b/>
        </w:rPr>
        <w:t xml:space="preserve"> JASON T. FISHER’S</w:t>
      </w:r>
      <w:r w:rsidR="002A3773">
        <w:rPr>
          <w:b/>
        </w:rPr>
        <w:t xml:space="preserve"> MOTIONS IN LIMINE</w:t>
      </w:r>
    </w:p>
    <w:p w:rsidR="00220626" w:rsidRDefault="00220626" w:rsidP="00220626"/>
    <w:p w:rsidR="00220626" w:rsidRPr="006A048A" w:rsidRDefault="008A3659" w:rsidP="00220626">
      <w:r>
        <w:t>OMAR N. MOHAMED</w:t>
      </w:r>
      <w:r w:rsidR="00220626">
        <w:t xml:space="preserve"> </w:t>
      </w:r>
      <w:r w:rsidR="00220626">
        <w:tab/>
      </w:r>
      <w:r w:rsidR="00220626">
        <w:tab/>
      </w:r>
      <w:r w:rsidR="00220626" w:rsidRPr="006A048A">
        <w:tab/>
      </w:r>
      <w:r w:rsidR="00220626" w:rsidRPr="006A048A">
        <w:tab/>
      </w:r>
      <w:r w:rsidR="00220626" w:rsidRPr="006A048A">
        <w:tab/>
      </w:r>
      <w:r w:rsidR="00220626">
        <w:t xml:space="preserve">                                    DEFENDANT</w:t>
      </w:r>
      <w:r w:rsidR="00220626" w:rsidRPr="006A048A">
        <w:tab/>
        <w:t xml:space="preserve">       </w:t>
      </w:r>
      <w:r w:rsidR="00220626">
        <w:t xml:space="preserve"> </w:t>
      </w:r>
      <w:r w:rsidR="00220626" w:rsidRPr="006A048A">
        <w:t xml:space="preserve"> </w:t>
      </w:r>
      <w:r w:rsidR="00220626">
        <w:t xml:space="preserve">           </w:t>
      </w:r>
    </w:p>
    <w:p w:rsidR="003B5664" w:rsidRPr="007B29E7" w:rsidRDefault="003B5664" w:rsidP="003B5664">
      <w:pPr>
        <w:widowControl w:val="0"/>
        <w:tabs>
          <w:tab w:val="right" w:pos="8460"/>
        </w:tabs>
        <w:rPr>
          <w:rFonts w:ascii="Book Antiqua" w:hAnsi="Book Antiqua"/>
          <w:sz w:val="23"/>
          <w:szCs w:val="23"/>
        </w:rPr>
      </w:pPr>
    </w:p>
    <w:p w:rsidR="00DD1AF4" w:rsidRDefault="002857F5" w:rsidP="003B5664">
      <w:pPr>
        <w:widowControl w:val="0"/>
        <w:tabs>
          <w:tab w:val="center" w:pos="4680"/>
        </w:tabs>
        <w:rPr>
          <w:rFonts w:ascii="Book Antiqua" w:hAnsi="Book Antiqua"/>
          <w:sz w:val="23"/>
          <w:szCs w:val="23"/>
        </w:rPr>
      </w:pPr>
      <w:r w:rsidRPr="007B29E7">
        <w:rPr>
          <w:rFonts w:ascii="Book Antiqua" w:hAnsi="Book Antiqua"/>
          <w:sz w:val="23"/>
          <w:szCs w:val="23"/>
        </w:rPr>
        <w:tab/>
      </w:r>
      <w:r w:rsidR="003312C0" w:rsidRPr="007B29E7">
        <w:rPr>
          <w:rFonts w:ascii="Book Antiqua" w:hAnsi="Book Antiqua"/>
          <w:sz w:val="23"/>
          <w:szCs w:val="23"/>
        </w:rPr>
        <w:t>***   ***   ***</w:t>
      </w:r>
    </w:p>
    <w:p w:rsidR="003B5664" w:rsidRPr="007B29E7" w:rsidRDefault="003B5664" w:rsidP="005C123D">
      <w:pPr>
        <w:widowControl w:val="0"/>
        <w:tabs>
          <w:tab w:val="center" w:pos="4680"/>
        </w:tabs>
        <w:jc w:val="both"/>
        <w:rPr>
          <w:rFonts w:ascii="Book Antiqua" w:hAnsi="Book Antiqua"/>
          <w:sz w:val="23"/>
          <w:szCs w:val="23"/>
        </w:rPr>
      </w:pPr>
    </w:p>
    <w:p w:rsidR="002A3773" w:rsidRPr="007F385E" w:rsidRDefault="00C622F3" w:rsidP="005C123D">
      <w:pPr>
        <w:spacing w:after="200" w:line="480" w:lineRule="auto"/>
        <w:ind w:firstLine="720"/>
        <w:jc w:val="both"/>
        <w:rPr>
          <w:szCs w:val="24"/>
        </w:rPr>
      </w:pPr>
      <w:r>
        <w:rPr>
          <w:rFonts w:ascii="Book Antiqua" w:hAnsi="Book Antiqua"/>
          <w:sz w:val="23"/>
          <w:szCs w:val="23"/>
        </w:rPr>
        <w:t>Comes now, the Plaintiff</w:t>
      </w:r>
      <w:r w:rsidR="002A3773">
        <w:rPr>
          <w:rFonts w:ascii="Book Antiqua" w:hAnsi="Book Antiqua"/>
          <w:sz w:val="23"/>
          <w:szCs w:val="23"/>
        </w:rPr>
        <w:t xml:space="preserve">, </w:t>
      </w:r>
      <w:r w:rsidR="00BB38A0">
        <w:rPr>
          <w:rFonts w:ascii="Book Antiqua" w:hAnsi="Book Antiqua"/>
          <w:sz w:val="23"/>
          <w:szCs w:val="23"/>
        </w:rPr>
        <w:t>Jason Fisher</w:t>
      </w:r>
      <w:r>
        <w:rPr>
          <w:rFonts w:ascii="Book Antiqua" w:hAnsi="Book Antiqua"/>
          <w:sz w:val="23"/>
          <w:szCs w:val="23"/>
        </w:rPr>
        <w:t xml:space="preserve">, </w:t>
      </w:r>
      <w:r w:rsidR="002A3773" w:rsidRPr="007F385E">
        <w:rPr>
          <w:szCs w:val="24"/>
        </w:rPr>
        <w:t>by and through counsel and moves this Court for a</w:t>
      </w:r>
      <w:bookmarkStart w:id="0" w:name="_GoBack"/>
      <w:bookmarkEnd w:id="0"/>
      <w:r w:rsidR="002A3773" w:rsidRPr="007F385E">
        <w:rPr>
          <w:szCs w:val="24"/>
        </w:rPr>
        <w:t xml:space="preserve">n Order in </w:t>
      </w:r>
      <w:r w:rsidR="002A3773" w:rsidRPr="000A036F">
        <w:rPr>
          <w:i/>
          <w:szCs w:val="24"/>
        </w:rPr>
        <w:t>Limine</w:t>
      </w:r>
      <w:r w:rsidR="002A3773" w:rsidRPr="007F385E">
        <w:rPr>
          <w:szCs w:val="24"/>
        </w:rPr>
        <w:t xml:space="preserve"> precluding the Defendant or their attorneys from referencing, directly, indirectly, or in any manner whatsoev</w:t>
      </w:r>
      <w:r w:rsidR="002A3773">
        <w:rPr>
          <w:szCs w:val="24"/>
        </w:rPr>
        <w:t>er, the matters set forth below:</w:t>
      </w:r>
    </w:p>
    <w:p w:rsidR="002A3773" w:rsidRPr="007F385E" w:rsidRDefault="002A3773" w:rsidP="005C123D">
      <w:pPr>
        <w:tabs>
          <w:tab w:val="left" w:pos="480"/>
        </w:tabs>
        <w:spacing w:line="480" w:lineRule="auto"/>
        <w:jc w:val="both"/>
        <w:rPr>
          <w:b/>
          <w:szCs w:val="24"/>
        </w:rPr>
      </w:pPr>
      <w:r w:rsidRPr="007F385E">
        <w:rPr>
          <w:b/>
          <w:szCs w:val="24"/>
        </w:rPr>
        <w:t>1.</w:t>
      </w:r>
      <w:r w:rsidRPr="007F385E">
        <w:rPr>
          <w:b/>
          <w:szCs w:val="24"/>
        </w:rPr>
        <w:tab/>
        <w:t>The Kentucky Uniform Police Traffic Collision Report.</w:t>
      </w:r>
    </w:p>
    <w:p w:rsidR="002A3773" w:rsidRPr="007F385E" w:rsidRDefault="002A3773" w:rsidP="005C123D">
      <w:pPr>
        <w:tabs>
          <w:tab w:val="left" w:pos="480"/>
        </w:tabs>
        <w:spacing w:after="200" w:line="480" w:lineRule="auto"/>
        <w:jc w:val="both"/>
        <w:rPr>
          <w:szCs w:val="24"/>
        </w:rPr>
      </w:pPr>
      <w:r w:rsidRPr="007F385E">
        <w:rPr>
          <w:szCs w:val="24"/>
        </w:rPr>
        <w:tab/>
        <w:t xml:space="preserve">Uniform police traffic collision reports are inadmissible under Kentucky law. KRE 803(8)(A); </w:t>
      </w:r>
      <w:r w:rsidRPr="007F385E">
        <w:rPr>
          <w:i/>
          <w:szCs w:val="24"/>
        </w:rPr>
        <w:t>see also Campbell v. Markham</w:t>
      </w:r>
      <w:r w:rsidRPr="007F385E">
        <w:rPr>
          <w:szCs w:val="24"/>
        </w:rPr>
        <w:t>, 426 S.W.2d 431, 438 (Ky. 1968). Therefore, the Defendant should be precluded from introducing the subject collision report or any part thereof to the jury.</w:t>
      </w:r>
    </w:p>
    <w:p w:rsidR="002A3773" w:rsidRPr="007F385E" w:rsidRDefault="002A3773" w:rsidP="005C123D">
      <w:pPr>
        <w:tabs>
          <w:tab w:val="left" w:pos="480"/>
        </w:tabs>
        <w:spacing w:line="480" w:lineRule="auto"/>
        <w:jc w:val="both"/>
        <w:rPr>
          <w:b/>
          <w:szCs w:val="24"/>
        </w:rPr>
      </w:pPr>
      <w:r w:rsidRPr="007F385E">
        <w:rPr>
          <w:b/>
          <w:szCs w:val="24"/>
        </w:rPr>
        <w:t>2.</w:t>
      </w:r>
      <w:r w:rsidRPr="007F385E">
        <w:rPr>
          <w:b/>
          <w:szCs w:val="24"/>
        </w:rPr>
        <w:tab/>
        <w:t>Challenges to the Necessity or Reasonableness of Plaintiffs’ Medical Bills.</w:t>
      </w:r>
    </w:p>
    <w:p w:rsidR="002A3773" w:rsidRPr="007F385E" w:rsidRDefault="002A3773" w:rsidP="005C123D">
      <w:pPr>
        <w:tabs>
          <w:tab w:val="left" w:pos="480"/>
        </w:tabs>
        <w:spacing w:after="200" w:line="480" w:lineRule="auto"/>
        <w:jc w:val="both"/>
        <w:rPr>
          <w:rStyle w:val="documentbody"/>
          <w:szCs w:val="24"/>
        </w:rPr>
      </w:pPr>
      <w:r w:rsidRPr="007F385E">
        <w:rPr>
          <w:szCs w:val="24"/>
        </w:rPr>
        <w:tab/>
        <w:t xml:space="preserve">In all motor vehicle accident cases, “[t]here shall be a presumption that any medical bill submitted is reasonable.” KRS 304.39-020(5)(a). To overcome this statutory presumption, the Defendants must be able to offer evidence that Plaintiffs’ medical bills were not medically necessary or reasonable. </w:t>
      </w:r>
      <w:r w:rsidRPr="007F385E">
        <w:rPr>
          <w:i/>
          <w:szCs w:val="24"/>
        </w:rPr>
        <w:t xml:space="preserve">Bolin v. Grider, </w:t>
      </w:r>
      <w:r w:rsidRPr="007F385E">
        <w:rPr>
          <w:szCs w:val="24"/>
        </w:rPr>
        <w:t xml:space="preserve">580 S.W.2d 490 (Ky. 1979) (“Under such circumstances the probative force of the medical bills is so persuasive on the issue of the reasonableness of the amount of charges for ‘medical expense’ that there is nothing for the jury to decide and the issue should not [be] submitted to them.”) In </w:t>
      </w:r>
      <w:r w:rsidRPr="007F385E">
        <w:rPr>
          <w:i/>
          <w:szCs w:val="24"/>
        </w:rPr>
        <w:t>Bolin</w:t>
      </w:r>
      <w:r w:rsidRPr="007F385E">
        <w:rPr>
          <w:szCs w:val="24"/>
        </w:rPr>
        <w:t xml:space="preserve">, which also involved an automobile accident, the defendants attacked the reasonableness of the plaintiff’s medical treatment, but furnished no </w:t>
      </w:r>
      <w:r w:rsidRPr="007F385E">
        <w:rPr>
          <w:szCs w:val="24"/>
        </w:rPr>
        <w:lastRenderedPageBreak/>
        <w:t xml:space="preserve">evidence to impeach the charges for such treatment. The Kentucky Supreme Court </w:t>
      </w:r>
      <w:r w:rsidRPr="007F385E">
        <w:rPr>
          <w:rStyle w:val="documentbody"/>
          <w:szCs w:val="24"/>
        </w:rPr>
        <w:t xml:space="preserve">held that a jury should not be asked to decide whether medical expenses are reasonable or necessary in absence of evidence to rebut the statutory presumption of reasonableness. Here, </w:t>
      </w:r>
      <w:r w:rsidRPr="007F385E">
        <w:rPr>
          <w:szCs w:val="24"/>
        </w:rPr>
        <w:t>the Defendants will likely make a similar attempt to contest the necessity or reasonableness of Plaintiffs’ medical bills without expert testimony to support such a contention. However, under the above authority, without impeachment evidence, the Court must presume Plaintiffs’ medical bills are necessary and reasonable.</w:t>
      </w:r>
    </w:p>
    <w:p w:rsidR="002A3773" w:rsidRPr="007F385E" w:rsidRDefault="002A3773" w:rsidP="005C123D">
      <w:pPr>
        <w:tabs>
          <w:tab w:val="left" w:pos="480"/>
        </w:tabs>
        <w:spacing w:line="480" w:lineRule="auto"/>
        <w:jc w:val="both"/>
        <w:rPr>
          <w:szCs w:val="24"/>
        </w:rPr>
      </w:pPr>
      <w:r w:rsidRPr="007F385E">
        <w:rPr>
          <w:rStyle w:val="documentbody"/>
          <w:b/>
          <w:szCs w:val="24"/>
        </w:rPr>
        <w:t>3.</w:t>
      </w:r>
      <w:r w:rsidRPr="007F385E">
        <w:rPr>
          <w:rStyle w:val="documentbody"/>
          <w:b/>
          <w:szCs w:val="24"/>
        </w:rPr>
        <w:tab/>
        <w:t>Challenges Regarding the Cause or Extent of Plaintiffs’ Injuries.</w:t>
      </w:r>
    </w:p>
    <w:p w:rsidR="002A3773" w:rsidRPr="007F385E" w:rsidRDefault="002A3773" w:rsidP="005C123D">
      <w:pPr>
        <w:tabs>
          <w:tab w:val="left" w:pos="480"/>
        </w:tabs>
        <w:spacing w:line="480" w:lineRule="auto"/>
        <w:jc w:val="both"/>
        <w:rPr>
          <w:szCs w:val="24"/>
        </w:rPr>
      </w:pPr>
      <w:r w:rsidRPr="007F385E">
        <w:rPr>
          <w:szCs w:val="24"/>
        </w:rPr>
        <w:tab/>
        <w:t xml:space="preserve">The Court should exclude all testimony, arguments, or opinions offered by lay witnesses or Defendants’ attorneys regarding the cause or extent of Plaintiffs’ injuries. </w:t>
      </w:r>
      <w:r>
        <w:rPr>
          <w:szCs w:val="24"/>
        </w:rPr>
        <w:t xml:space="preserve"> </w:t>
      </w:r>
      <w:r w:rsidRPr="007F385E">
        <w:rPr>
          <w:szCs w:val="24"/>
        </w:rPr>
        <w:t xml:space="preserve">Specifically, Defendants are likely to argue that the subject automobile collision did not cause Plaintiffs’ injuries, or that Plaintiffs’ injuries are not as severe as they claim.  Such medical testimony is solely within the purview of a biomechanical or medical expert, which Defendants have not produced.   </w:t>
      </w:r>
    </w:p>
    <w:p w:rsidR="002A3773" w:rsidRDefault="002A3773" w:rsidP="005C123D">
      <w:pPr>
        <w:tabs>
          <w:tab w:val="left" w:pos="480"/>
        </w:tabs>
        <w:spacing w:line="480" w:lineRule="auto"/>
        <w:jc w:val="both"/>
        <w:rPr>
          <w:szCs w:val="24"/>
        </w:rPr>
      </w:pPr>
      <w:r w:rsidRPr="007F385E">
        <w:rPr>
          <w:szCs w:val="24"/>
        </w:rPr>
        <w:tab/>
        <w:t xml:space="preserve">KRE 701(c) prohibits any lay witness from offering opinion testimony “based on scientific, technical, or other specialized knowledge within the scope of Rule 702.” Any testimony, argument, or opinion that the subject accident was not the medical cause of Plaintiffs’ injuries must be based solely upon scientific, technical, or other specialized knowledge which only an expert qualified under KRE 702 may offer. The need for such expert testimony is particularly important in this case, where Defendants will likely argue that Plaintiffs’ injuries </w:t>
      </w:r>
      <w:r>
        <w:rPr>
          <w:szCs w:val="24"/>
        </w:rPr>
        <w:t>were not caused by the subject accident or are not as severe as Plaintiff’s doctors opine.</w:t>
      </w:r>
    </w:p>
    <w:p w:rsidR="005C123D" w:rsidRDefault="002A3773" w:rsidP="005C123D">
      <w:pPr>
        <w:widowControl w:val="0"/>
        <w:tabs>
          <w:tab w:val="left" w:pos="480"/>
        </w:tabs>
        <w:spacing w:line="480" w:lineRule="auto"/>
        <w:jc w:val="both"/>
        <w:rPr>
          <w:color w:val="000000"/>
          <w:szCs w:val="24"/>
        </w:rPr>
      </w:pPr>
      <w:r w:rsidRPr="007F385E">
        <w:rPr>
          <w:color w:val="000000"/>
          <w:szCs w:val="24"/>
        </w:rPr>
        <w:tab/>
        <w:t xml:space="preserve">Similarly, Defendants should be precluded from offering any opinion testimony or arguments challenging the </w:t>
      </w:r>
      <w:r w:rsidRPr="007F385E">
        <w:rPr>
          <w:szCs w:val="24"/>
        </w:rPr>
        <w:t>extent of Plaintiffs’ injuries</w:t>
      </w:r>
      <w:r w:rsidRPr="007F385E">
        <w:rPr>
          <w:color w:val="000000"/>
          <w:szCs w:val="24"/>
        </w:rPr>
        <w:t>. Such testimony may only be properly given by an expert. Defendants and their attorneys are not licensed to practice medicine and are not qualified</w:t>
      </w:r>
    </w:p>
    <w:p w:rsidR="002A3773" w:rsidRPr="007F385E" w:rsidRDefault="005C123D" w:rsidP="005C123D">
      <w:pPr>
        <w:widowControl w:val="0"/>
        <w:tabs>
          <w:tab w:val="left" w:pos="480"/>
        </w:tabs>
        <w:spacing w:after="200" w:line="480" w:lineRule="auto"/>
        <w:jc w:val="both"/>
        <w:rPr>
          <w:color w:val="000000"/>
          <w:szCs w:val="24"/>
        </w:rPr>
      </w:pPr>
      <w:r>
        <w:rPr>
          <w:color w:val="000000"/>
          <w:szCs w:val="24"/>
        </w:rPr>
        <w:lastRenderedPageBreak/>
        <w:t>t</w:t>
      </w:r>
      <w:r w:rsidR="002A3773" w:rsidRPr="007F385E">
        <w:rPr>
          <w:color w:val="000000"/>
          <w:szCs w:val="24"/>
        </w:rPr>
        <w:t>o render a diagnosis. Therefore, they obviously are not qualified to render a medical assessment as to Plaintiffs’ medical diagnosis or prognosis, or to attempt to educate a jury on such matters.</w:t>
      </w:r>
    </w:p>
    <w:p w:rsidR="002A3773" w:rsidRPr="007F385E" w:rsidRDefault="002A3773" w:rsidP="005C123D">
      <w:pPr>
        <w:widowControl w:val="0"/>
        <w:tabs>
          <w:tab w:val="left" w:pos="480"/>
        </w:tabs>
        <w:spacing w:line="480" w:lineRule="auto"/>
        <w:jc w:val="both"/>
        <w:rPr>
          <w:b/>
          <w:szCs w:val="24"/>
        </w:rPr>
      </w:pPr>
      <w:r>
        <w:rPr>
          <w:b/>
          <w:szCs w:val="24"/>
        </w:rPr>
        <w:t>4</w:t>
      </w:r>
      <w:r w:rsidRPr="007F385E">
        <w:rPr>
          <w:b/>
          <w:szCs w:val="24"/>
        </w:rPr>
        <w:t>.</w:t>
      </w:r>
      <w:r w:rsidRPr="007F385E">
        <w:rPr>
          <w:b/>
          <w:szCs w:val="24"/>
        </w:rPr>
        <w:tab/>
        <w:t>Defendants’ Remorse or Other Post-Injury State of Mind.</w:t>
      </w:r>
    </w:p>
    <w:p w:rsidR="002A3773" w:rsidRPr="007F385E" w:rsidRDefault="002A3773" w:rsidP="005C123D">
      <w:pPr>
        <w:tabs>
          <w:tab w:val="left" w:pos="480"/>
        </w:tabs>
        <w:spacing w:line="480" w:lineRule="auto"/>
        <w:jc w:val="both"/>
        <w:rPr>
          <w:szCs w:val="24"/>
        </w:rPr>
      </w:pPr>
      <w:r w:rsidRPr="007F385E">
        <w:rPr>
          <w:b/>
          <w:szCs w:val="24"/>
        </w:rPr>
        <w:tab/>
      </w:r>
      <w:r w:rsidRPr="007F385E">
        <w:rPr>
          <w:szCs w:val="24"/>
        </w:rPr>
        <w:t xml:space="preserve">The Court should exclude all reference, mention, argument, or evidence of Defendants’ remorse, or that they are sorry, regretful, or apologetic for the subject accident or for Plaintiffs’ injuries. </w:t>
      </w:r>
    </w:p>
    <w:p w:rsidR="002A3773" w:rsidRPr="007F385E" w:rsidRDefault="002A3773" w:rsidP="005C123D">
      <w:pPr>
        <w:tabs>
          <w:tab w:val="left" w:pos="480"/>
        </w:tabs>
        <w:spacing w:line="480" w:lineRule="auto"/>
        <w:jc w:val="both"/>
        <w:rPr>
          <w:szCs w:val="24"/>
        </w:rPr>
      </w:pPr>
      <w:r w:rsidRPr="007F385E">
        <w:rPr>
          <w:szCs w:val="24"/>
        </w:rPr>
        <w:tab/>
        <w:t xml:space="preserve">The only factual questions before the Court are: (1) whether the Defendants were negligent; (2) whether such negligence caused Plaintiffs’ injuries; and (3) the value of Plaintiffs’ injuries. Defendants’ remorse or similar post-injury state of mind has </w:t>
      </w:r>
      <w:r w:rsidRPr="007F385E">
        <w:rPr>
          <w:i/>
          <w:szCs w:val="24"/>
        </w:rPr>
        <w:t>no</w:t>
      </w:r>
      <w:r w:rsidRPr="007F385E">
        <w:rPr>
          <w:szCs w:val="24"/>
        </w:rPr>
        <w:t xml:space="preserve"> tendency to make the existence of any fact that is of consequence to the determination of such questions more probable or less probable. Thus, such evidence is inadmissible under KRE 402.</w:t>
      </w:r>
    </w:p>
    <w:p w:rsidR="002A3773" w:rsidRPr="007F385E" w:rsidRDefault="002A3773" w:rsidP="005C123D">
      <w:pPr>
        <w:tabs>
          <w:tab w:val="left" w:pos="480"/>
        </w:tabs>
        <w:spacing w:after="200" w:line="480" w:lineRule="auto"/>
        <w:jc w:val="both"/>
        <w:rPr>
          <w:szCs w:val="24"/>
        </w:rPr>
      </w:pPr>
      <w:r w:rsidRPr="007F385E">
        <w:rPr>
          <w:szCs w:val="24"/>
        </w:rPr>
        <w:tab/>
        <w:t>In addition to being irrelevant, any evidence of Defendants’ remorse or other post-injury state of mind would risk causing prejudice, confusion of the issues, and misleading the jury as to the appropriate legal measure of damages. Accordingly, admission of such evidence is also prohibited under KRE 403.</w:t>
      </w:r>
    </w:p>
    <w:p w:rsidR="002A3773" w:rsidRPr="007F385E" w:rsidRDefault="002A3773" w:rsidP="005C123D">
      <w:pPr>
        <w:tabs>
          <w:tab w:val="left" w:pos="480"/>
        </w:tabs>
        <w:spacing w:line="480" w:lineRule="auto"/>
        <w:jc w:val="both"/>
        <w:rPr>
          <w:rStyle w:val="documentbody"/>
          <w:b/>
          <w:szCs w:val="24"/>
        </w:rPr>
      </w:pPr>
      <w:r>
        <w:rPr>
          <w:rStyle w:val="documentbody"/>
          <w:b/>
          <w:szCs w:val="24"/>
        </w:rPr>
        <w:t>5</w:t>
      </w:r>
      <w:r w:rsidRPr="007F385E">
        <w:rPr>
          <w:rStyle w:val="documentbody"/>
          <w:b/>
          <w:szCs w:val="24"/>
        </w:rPr>
        <w:t>.</w:t>
      </w:r>
      <w:r w:rsidRPr="007F385E">
        <w:rPr>
          <w:rStyle w:val="documentbody"/>
          <w:b/>
          <w:szCs w:val="24"/>
        </w:rPr>
        <w:tab/>
        <w:t>Collateral Source Payments.</w:t>
      </w:r>
    </w:p>
    <w:p w:rsidR="002A3773" w:rsidRPr="007F385E" w:rsidRDefault="002A3773" w:rsidP="005C123D">
      <w:pPr>
        <w:tabs>
          <w:tab w:val="left" w:pos="480"/>
        </w:tabs>
        <w:spacing w:after="200" w:line="480" w:lineRule="auto"/>
        <w:jc w:val="both"/>
        <w:rPr>
          <w:szCs w:val="24"/>
        </w:rPr>
      </w:pPr>
      <w:r w:rsidRPr="007F385E">
        <w:rPr>
          <w:rStyle w:val="documentbody"/>
          <w:b/>
          <w:szCs w:val="24"/>
        </w:rPr>
        <w:tab/>
      </w:r>
      <w:r w:rsidRPr="007F385E">
        <w:rPr>
          <w:rStyle w:val="documentbody"/>
          <w:szCs w:val="24"/>
        </w:rPr>
        <w:t xml:space="preserve">The existence of any collateral source payments made in connection with the care and treatment of Plaintiffs are irrelevant and inadmissible. </w:t>
      </w:r>
      <w:r>
        <w:rPr>
          <w:rStyle w:val="documentbody"/>
          <w:szCs w:val="24"/>
        </w:rPr>
        <w:t xml:space="preserve"> </w:t>
      </w:r>
      <w:r w:rsidRPr="007F385E">
        <w:rPr>
          <w:rStyle w:val="documentbody"/>
          <w:szCs w:val="24"/>
        </w:rPr>
        <w:t xml:space="preserve">KRE 401; KRE 402; </w:t>
      </w:r>
      <w:r w:rsidRPr="007F385E">
        <w:rPr>
          <w:i/>
          <w:szCs w:val="24"/>
        </w:rPr>
        <w:t>O’Bryan v. Hedgespeth</w:t>
      </w:r>
      <w:r w:rsidRPr="007F385E">
        <w:rPr>
          <w:szCs w:val="24"/>
        </w:rPr>
        <w:t xml:space="preserve">, 892 S.W.2d 571 (Ky. 1995). </w:t>
      </w:r>
      <w:r w:rsidRPr="007F385E">
        <w:rPr>
          <w:rStyle w:val="documentbody"/>
          <w:szCs w:val="24"/>
        </w:rPr>
        <w:t>Accordingly, Defendants should be precluded from introducing evidence or making any argument about</w:t>
      </w:r>
      <w:r w:rsidRPr="007F385E">
        <w:rPr>
          <w:szCs w:val="24"/>
        </w:rPr>
        <w:t xml:space="preserve"> collateral sources of payments received by the Plaintiffs, including payments from the PIP carrier and any health insurance company. </w:t>
      </w:r>
    </w:p>
    <w:p w:rsidR="002A3773" w:rsidRDefault="002A3773" w:rsidP="005C123D">
      <w:pPr>
        <w:widowControl w:val="0"/>
        <w:tabs>
          <w:tab w:val="left" w:pos="480"/>
        </w:tabs>
        <w:spacing w:line="480" w:lineRule="auto"/>
        <w:jc w:val="both"/>
        <w:rPr>
          <w:szCs w:val="24"/>
        </w:rPr>
      </w:pPr>
      <w:r>
        <w:rPr>
          <w:szCs w:val="24"/>
        </w:rPr>
        <w:t>6.</w:t>
      </w:r>
      <w:r>
        <w:rPr>
          <w:szCs w:val="24"/>
        </w:rPr>
        <w:tab/>
      </w:r>
      <w:r w:rsidRPr="00E41D5E">
        <w:rPr>
          <w:b/>
          <w:szCs w:val="24"/>
        </w:rPr>
        <w:t>Facts not in evidence.</w:t>
      </w:r>
    </w:p>
    <w:p w:rsidR="005C123D" w:rsidRPr="007F385E" w:rsidRDefault="002A3773" w:rsidP="005C123D">
      <w:pPr>
        <w:widowControl w:val="0"/>
        <w:tabs>
          <w:tab w:val="left" w:pos="480"/>
        </w:tabs>
        <w:spacing w:after="200" w:line="480" w:lineRule="auto"/>
        <w:jc w:val="both"/>
        <w:rPr>
          <w:szCs w:val="24"/>
        </w:rPr>
      </w:pPr>
      <w:r>
        <w:rPr>
          <w:szCs w:val="24"/>
        </w:rPr>
        <w:lastRenderedPageBreak/>
        <w:tab/>
        <w:t xml:space="preserve">It is expected that defense counsel will attempt to argue facts not in evidence to the jury.  Plaintiff requests the court enter an order in </w:t>
      </w:r>
      <w:r w:rsidRPr="002A3773">
        <w:rPr>
          <w:i/>
          <w:szCs w:val="24"/>
        </w:rPr>
        <w:t>limine</w:t>
      </w:r>
      <w:r>
        <w:rPr>
          <w:szCs w:val="24"/>
        </w:rPr>
        <w:t xml:space="preserve"> instructing defense counsel not to argue facts not in evidence. </w:t>
      </w:r>
    </w:p>
    <w:p w:rsidR="002A3773" w:rsidRPr="007F385E" w:rsidRDefault="002A3773" w:rsidP="005C123D">
      <w:pPr>
        <w:tabs>
          <w:tab w:val="left" w:pos="480"/>
        </w:tabs>
        <w:spacing w:line="480" w:lineRule="auto"/>
        <w:jc w:val="both"/>
        <w:rPr>
          <w:b/>
          <w:szCs w:val="24"/>
        </w:rPr>
      </w:pPr>
      <w:r>
        <w:rPr>
          <w:b/>
          <w:szCs w:val="24"/>
        </w:rPr>
        <w:t>7</w:t>
      </w:r>
      <w:r w:rsidRPr="007F385E">
        <w:rPr>
          <w:b/>
          <w:szCs w:val="24"/>
        </w:rPr>
        <w:t>.</w:t>
      </w:r>
      <w:r w:rsidRPr="007F385E">
        <w:rPr>
          <w:b/>
          <w:szCs w:val="24"/>
        </w:rPr>
        <w:tab/>
        <w:t>Miscellaneous Irrelevant and/or Prejudicial Matters.</w:t>
      </w:r>
    </w:p>
    <w:p w:rsidR="002A3773" w:rsidRPr="007F385E" w:rsidRDefault="002A3773" w:rsidP="005C123D">
      <w:pPr>
        <w:widowControl w:val="0"/>
        <w:tabs>
          <w:tab w:val="left" w:pos="1080"/>
        </w:tabs>
        <w:spacing w:line="480" w:lineRule="auto"/>
        <w:ind w:left="475"/>
        <w:jc w:val="both"/>
        <w:rPr>
          <w:szCs w:val="24"/>
        </w:rPr>
      </w:pPr>
      <w:r w:rsidRPr="007F385E">
        <w:rPr>
          <w:szCs w:val="24"/>
        </w:rPr>
        <w:t>(a)</w:t>
      </w:r>
      <w:r w:rsidRPr="007F385E">
        <w:rPr>
          <w:szCs w:val="24"/>
        </w:rPr>
        <w:tab/>
        <w:t>Defendants and their counsel should be precluded from introducing evidence or making any argument about their inability to pay a verdict or the effect that verdict would have on them.</w:t>
      </w:r>
    </w:p>
    <w:p w:rsidR="002A3773" w:rsidRPr="007F385E" w:rsidRDefault="002A3773" w:rsidP="005C123D">
      <w:pPr>
        <w:widowControl w:val="0"/>
        <w:tabs>
          <w:tab w:val="left" w:pos="1080"/>
        </w:tabs>
        <w:spacing w:line="480" w:lineRule="auto"/>
        <w:ind w:left="475"/>
        <w:jc w:val="both"/>
        <w:rPr>
          <w:szCs w:val="24"/>
        </w:rPr>
      </w:pPr>
      <w:r w:rsidRPr="007F385E">
        <w:rPr>
          <w:szCs w:val="24"/>
        </w:rPr>
        <w:t>(b)</w:t>
      </w:r>
      <w:r w:rsidRPr="007F385E">
        <w:rPr>
          <w:szCs w:val="24"/>
        </w:rPr>
        <w:tab/>
        <w:t>Defendants and their counsel should be precluded from making any reference or suggestion that an award of money will not undo Plaintiffs’ injuries.</w:t>
      </w:r>
    </w:p>
    <w:p w:rsidR="002A3773" w:rsidRPr="007F385E" w:rsidRDefault="002A3773" w:rsidP="005C123D">
      <w:pPr>
        <w:widowControl w:val="0"/>
        <w:tabs>
          <w:tab w:val="left" w:pos="1080"/>
        </w:tabs>
        <w:spacing w:line="480" w:lineRule="auto"/>
        <w:ind w:left="475"/>
        <w:jc w:val="both"/>
        <w:rPr>
          <w:szCs w:val="24"/>
        </w:rPr>
      </w:pPr>
      <w:r w:rsidRPr="007F385E">
        <w:rPr>
          <w:szCs w:val="24"/>
        </w:rPr>
        <w:t>(c)</w:t>
      </w:r>
      <w:r w:rsidRPr="007F385E">
        <w:rPr>
          <w:szCs w:val="24"/>
        </w:rPr>
        <w:tab/>
        <w:t>Defendants and their counsel should be precluded from asking any questions relating to when, how, or why Plaintiffs hired counsel, or the circumstances under which Plaintiffs employed counsel in this case.</w:t>
      </w:r>
    </w:p>
    <w:p w:rsidR="00E10356" w:rsidRDefault="002A3773" w:rsidP="005C123D">
      <w:pPr>
        <w:widowControl w:val="0"/>
        <w:tabs>
          <w:tab w:val="left" w:pos="1080"/>
        </w:tabs>
        <w:spacing w:after="200" w:line="480" w:lineRule="auto"/>
        <w:ind w:left="475"/>
        <w:jc w:val="both"/>
        <w:rPr>
          <w:szCs w:val="24"/>
        </w:rPr>
      </w:pPr>
      <w:r w:rsidRPr="007F385E">
        <w:rPr>
          <w:szCs w:val="24"/>
        </w:rPr>
        <w:t>(d)</w:t>
      </w:r>
      <w:r w:rsidRPr="007F385E">
        <w:rPr>
          <w:szCs w:val="24"/>
        </w:rPr>
        <w:tab/>
        <w:t xml:space="preserve">Defendants and their counsel should be precluded from making any reference or suggestion directly or indirectly attacking the American tort system or Plaintiff’s lawyers in general. </w:t>
      </w:r>
    </w:p>
    <w:p w:rsidR="00E10356" w:rsidRDefault="00E10356" w:rsidP="005C123D">
      <w:pPr>
        <w:widowControl w:val="0"/>
        <w:tabs>
          <w:tab w:val="left" w:pos="720"/>
          <w:tab w:val="left" w:pos="1080"/>
        </w:tabs>
        <w:spacing w:line="480" w:lineRule="auto"/>
        <w:jc w:val="both"/>
        <w:rPr>
          <w:b/>
          <w:szCs w:val="24"/>
        </w:rPr>
      </w:pPr>
      <w:r>
        <w:rPr>
          <w:b/>
          <w:szCs w:val="24"/>
        </w:rPr>
        <w:t>8.     That the Plaintiff must prove their case by a preponderance of the evidence.</w:t>
      </w:r>
    </w:p>
    <w:p w:rsidR="00E10356" w:rsidRDefault="00E10356" w:rsidP="005C123D">
      <w:pPr>
        <w:widowControl w:val="0"/>
        <w:tabs>
          <w:tab w:val="left" w:pos="720"/>
          <w:tab w:val="left" w:pos="1080"/>
        </w:tabs>
        <w:spacing w:line="480" w:lineRule="auto"/>
        <w:jc w:val="both"/>
        <w:rPr>
          <w:szCs w:val="24"/>
        </w:rPr>
      </w:pPr>
      <w:r>
        <w:rPr>
          <w:szCs w:val="24"/>
        </w:rPr>
        <w:tab/>
        <w:t>The rule in Kentucky is that a jury should not be told</w:t>
      </w:r>
      <w:r w:rsidR="004C0C7E">
        <w:rPr>
          <w:szCs w:val="24"/>
        </w:rPr>
        <w:t xml:space="preserve">… “that a litigant must prove his or her case by a preponderance of the evidence.” </w:t>
      </w:r>
      <w:r w:rsidR="004C0C7E">
        <w:rPr>
          <w:i/>
          <w:szCs w:val="24"/>
        </w:rPr>
        <w:t xml:space="preserve">Hall v. Arnett by Greene </w:t>
      </w:r>
      <w:r w:rsidR="004C0C7E">
        <w:rPr>
          <w:szCs w:val="24"/>
        </w:rPr>
        <w:t xml:space="preserve">709 S.W.2d 850, 852 (Ky. 1986); see also, </w:t>
      </w:r>
      <w:r w:rsidR="004C0C7E">
        <w:rPr>
          <w:i/>
          <w:szCs w:val="24"/>
        </w:rPr>
        <w:t xml:space="preserve">Hardin v. Savageau, </w:t>
      </w:r>
      <w:r w:rsidR="004C0C7E">
        <w:rPr>
          <w:szCs w:val="24"/>
        </w:rPr>
        <w:t>906 S.W.2d 356, 357 (Ky. 1995</w:t>
      </w:r>
      <w:r w:rsidR="004C0C7E">
        <w:rPr>
          <w:szCs w:val="24"/>
        </w:rPr>
        <w:t>)</w:t>
      </w:r>
      <w:r w:rsidR="004C0C7E">
        <w:rPr>
          <w:szCs w:val="24"/>
        </w:rPr>
        <w:t xml:space="preserve">; 2 Palmore, </w:t>
      </w:r>
      <w:r w:rsidR="004C0C7E">
        <w:rPr>
          <w:i/>
          <w:szCs w:val="24"/>
        </w:rPr>
        <w:t xml:space="preserve">Kentucky Instructions to Juries, </w:t>
      </w:r>
      <w:r w:rsidR="004C0C7E">
        <w:rPr>
          <w:szCs w:val="24"/>
        </w:rPr>
        <w:t>§13.11(f)(2009). Accordingly, Defendants should be preclud</w:t>
      </w:r>
      <w:r w:rsidR="00432A15">
        <w:rPr>
          <w:szCs w:val="24"/>
        </w:rPr>
        <w:t xml:space="preserve">ed from making any reference, </w:t>
      </w:r>
      <w:r w:rsidR="004C0C7E">
        <w:rPr>
          <w:szCs w:val="24"/>
        </w:rPr>
        <w:t>suggestion</w:t>
      </w:r>
      <w:r w:rsidR="00432A15">
        <w:rPr>
          <w:szCs w:val="24"/>
        </w:rPr>
        <w:t xml:space="preserve"> or argument</w:t>
      </w:r>
      <w:r w:rsidR="004C0C7E">
        <w:rPr>
          <w:szCs w:val="24"/>
        </w:rPr>
        <w:t xml:space="preserve"> directed toward Plaintiff’s burden of proof. </w:t>
      </w:r>
    </w:p>
    <w:p w:rsidR="004C0C7E" w:rsidRPr="004C0C7E" w:rsidRDefault="004C0C7E" w:rsidP="005C123D">
      <w:pPr>
        <w:widowControl w:val="0"/>
        <w:tabs>
          <w:tab w:val="left" w:pos="720"/>
          <w:tab w:val="left" w:pos="1080"/>
        </w:tabs>
        <w:spacing w:line="480" w:lineRule="auto"/>
        <w:jc w:val="both"/>
        <w:rPr>
          <w:szCs w:val="24"/>
        </w:rPr>
      </w:pPr>
    </w:p>
    <w:p w:rsidR="002A3773" w:rsidRDefault="002A3773" w:rsidP="002A3773">
      <w:pPr>
        <w:ind w:left="4320" w:firstLine="720"/>
        <w:jc w:val="both"/>
        <w:rPr>
          <w:szCs w:val="24"/>
        </w:rPr>
      </w:pPr>
      <w:r>
        <w:rPr>
          <w:szCs w:val="24"/>
        </w:rPr>
        <w:t>Respectfully submitted,</w:t>
      </w:r>
    </w:p>
    <w:p w:rsidR="002A3773" w:rsidRDefault="002A3773" w:rsidP="002A3773">
      <w:pPr>
        <w:jc w:val="both"/>
        <w:rPr>
          <w:szCs w:val="24"/>
        </w:rPr>
      </w:pPr>
      <w:r>
        <w:rPr>
          <w:szCs w:val="24"/>
        </w:rPr>
        <w:lastRenderedPageBreak/>
        <w:tab/>
      </w:r>
      <w:r>
        <w:rPr>
          <w:szCs w:val="24"/>
        </w:rPr>
        <w:tab/>
      </w:r>
      <w:r>
        <w:rPr>
          <w:szCs w:val="24"/>
        </w:rPr>
        <w:tab/>
      </w:r>
      <w:r>
        <w:rPr>
          <w:szCs w:val="24"/>
        </w:rPr>
        <w:tab/>
      </w:r>
      <w:r>
        <w:rPr>
          <w:szCs w:val="24"/>
        </w:rPr>
        <w:tab/>
      </w:r>
    </w:p>
    <w:p w:rsidR="00927E98" w:rsidRDefault="00927E98" w:rsidP="002A3773">
      <w:pPr>
        <w:jc w:val="both"/>
        <w:rPr>
          <w:szCs w:val="24"/>
        </w:rPr>
      </w:pPr>
    </w:p>
    <w:p w:rsidR="00E10356" w:rsidRDefault="00E10356" w:rsidP="002A3773">
      <w:pPr>
        <w:jc w:val="both"/>
        <w:rPr>
          <w:szCs w:val="24"/>
        </w:rPr>
      </w:pPr>
    </w:p>
    <w:p w:rsidR="00927E98" w:rsidRPr="00927E98" w:rsidRDefault="00927E98" w:rsidP="002A3773">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r>
      <w:r w:rsidRPr="00927E98">
        <w:rPr>
          <w:szCs w:val="24"/>
        </w:rPr>
        <w:t>_________________________________</w:t>
      </w:r>
    </w:p>
    <w:p w:rsidR="00927E98" w:rsidRDefault="00927E98" w:rsidP="00BB38A0">
      <w:pPr>
        <w:pStyle w:val="NoSpacing"/>
        <w:rPr>
          <w:rFonts w:ascii="Times New Roman" w:hAnsi="Times New Roman"/>
        </w:rPr>
      </w:pPr>
      <w:r w:rsidRPr="00927E98">
        <w:rPr>
          <w:rFonts w:ascii="Times New Roman" w:hAnsi="Times New Roman"/>
        </w:rPr>
        <w:tab/>
      </w:r>
      <w:r w:rsidRPr="00927E98">
        <w:rPr>
          <w:rFonts w:ascii="Times New Roman" w:hAnsi="Times New Roman"/>
        </w:rPr>
        <w:tab/>
      </w:r>
      <w:r w:rsidRPr="00927E98">
        <w:rPr>
          <w:rFonts w:ascii="Times New Roman" w:hAnsi="Times New Roman"/>
        </w:rPr>
        <w:tab/>
      </w:r>
      <w:r w:rsidRPr="00927E98">
        <w:rPr>
          <w:rFonts w:ascii="Times New Roman" w:hAnsi="Times New Roman"/>
        </w:rPr>
        <w:tab/>
      </w:r>
      <w:r w:rsidRPr="00927E98">
        <w:rPr>
          <w:rFonts w:ascii="Times New Roman" w:hAnsi="Times New Roman"/>
        </w:rPr>
        <w:tab/>
      </w:r>
      <w:r w:rsidRPr="00927E98">
        <w:rPr>
          <w:rFonts w:ascii="Times New Roman" w:hAnsi="Times New Roman"/>
        </w:rPr>
        <w:tab/>
      </w:r>
      <w:r w:rsidRPr="00927E98">
        <w:rPr>
          <w:rFonts w:ascii="Times New Roman" w:hAnsi="Times New Roman"/>
        </w:rPr>
        <w:tab/>
      </w:r>
      <w:r w:rsidR="00BB38A0">
        <w:rPr>
          <w:rFonts w:ascii="Times New Roman" w:hAnsi="Times New Roman"/>
        </w:rPr>
        <w:t>Aaron M. Murphy</w:t>
      </w:r>
    </w:p>
    <w:p w:rsidR="00BB38A0" w:rsidRPr="00927E98" w:rsidRDefault="00BB38A0" w:rsidP="00BB38A0">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4C0C7E">
        <w:rPr>
          <w:rFonts w:ascii="Times New Roman" w:hAnsi="Times New Roman"/>
        </w:rPr>
        <w:t>MURPHY &amp; ASSOCIATES</w:t>
      </w:r>
    </w:p>
    <w:p w:rsidR="00927E98" w:rsidRPr="00927E98" w:rsidRDefault="00927E98" w:rsidP="004C0C7E">
      <w:pPr>
        <w:pStyle w:val="NoSpacing"/>
        <w:ind w:left="4320" w:firstLine="720"/>
        <w:rPr>
          <w:rFonts w:ascii="Times New Roman" w:hAnsi="Times New Roman"/>
        </w:rPr>
      </w:pPr>
      <w:r w:rsidRPr="00927E98">
        <w:rPr>
          <w:rFonts w:ascii="Times New Roman" w:hAnsi="Times New Roman"/>
        </w:rPr>
        <w:t>455 S. 4</w:t>
      </w:r>
      <w:r w:rsidRPr="00927E98">
        <w:rPr>
          <w:rFonts w:ascii="Times New Roman" w:hAnsi="Times New Roman"/>
          <w:vertAlign w:val="superscript"/>
        </w:rPr>
        <w:t>th</w:t>
      </w:r>
      <w:r w:rsidRPr="00927E98">
        <w:rPr>
          <w:rFonts w:ascii="Times New Roman" w:hAnsi="Times New Roman"/>
        </w:rPr>
        <w:t xml:space="preserve"> Street, Suite 1250</w:t>
      </w:r>
    </w:p>
    <w:p w:rsidR="00927E98" w:rsidRPr="00927E98" w:rsidRDefault="00927E98" w:rsidP="00927E98">
      <w:pPr>
        <w:pStyle w:val="NoSpacing"/>
        <w:ind w:left="4320" w:firstLine="720"/>
        <w:rPr>
          <w:rFonts w:ascii="Times New Roman" w:hAnsi="Times New Roman"/>
        </w:rPr>
      </w:pPr>
      <w:r w:rsidRPr="00927E98">
        <w:rPr>
          <w:rFonts w:ascii="Times New Roman" w:hAnsi="Times New Roman"/>
        </w:rPr>
        <w:t>Louisville, Kentucky 40202</w:t>
      </w:r>
    </w:p>
    <w:p w:rsidR="002A3773" w:rsidRPr="00927E98" w:rsidRDefault="002A3773" w:rsidP="002A3773">
      <w:pPr>
        <w:jc w:val="both"/>
        <w:rPr>
          <w:szCs w:val="24"/>
        </w:rPr>
      </w:pPr>
      <w:r w:rsidRPr="00927E98">
        <w:rPr>
          <w:szCs w:val="24"/>
        </w:rPr>
        <w:tab/>
      </w:r>
      <w:r w:rsidRPr="00927E98">
        <w:rPr>
          <w:szCs w:val="24"/>
        </w:rPr>
        <w:tab/>
      </w:r>
      <w:r w:rsidRPr="00927E98">
        <w:rPr>
          <w:szCs w:val="24"/>
        </w:rPr>
        <w:tab/>
      </w:r>
      <w:r w:rsidRPr="00927E98">
        <w:rPr>
          <w:szCs w:val="24"/>
        </w:rPr>
        <w:tab/>
      </w:r>
      <w:r w:rsidRPr="00927E98">
        <w:rPr>
          <w:szCs w:val="24"/>
        </w:rPr>
        <w:tab/>
      </w:r>
      <w:r w:rsidRPr="00927E98">
        <w:rPr>
          <w:szCs w:val="24"/>
        </w:rPr>
        <w:tab/>
      </w:r>
      <w:r w:rsidRPr="00927E98">
        <w:rPr>
          <w:szCs w:val="24"/>
        </w:rPr>
        <w:tab/>
        <w:t>P: 502.473.6464</w:t>
      </w:r>
    </w:p>
    <w:p w:rsidR="00927E98" w:rsidRDefault="002A3773" w:rsidP="002A3773">
      <w:pPr>
        <w:jc w:val="both"/>
        <w:rPr>
          <w:szCs w:val="24"/>
        </w:rPr>
      </w:pPr>
      <w:r w:rsidRPr="00927E98">
        <w:rPr>
          <w:szCs w:val="24"/>
        </w:rPr>
        <w:tab/>
      </w:r>
      <w:r w:rsidRPr="00927E98">
        <w:rPr>
          <w:szCs w:val="24"/>
        </w:rPr>
        <w:tab/>
      </w:r>
      <w:r w:rsidRPr="00927E98">
        <w:rPr>
          <w:szCs w:val="24"/>
        </w:rPr>
        <w:tab/>
      </w:r>
      <w:r w:rsidRPr="00927E98">
        <w:rPr>
          <w:szCs w:val="24"/>
        </w:rPr>
        <w:tab/>
      </w:r>
      <w:r w:rsidRPr="00927E98">
        <w:rPr>
          <w:szCs w:val="24"/>
        </w:rPr>
        <w:tab/>
      </w:r>
      <w:r w:rsidRPr="00927E98">
        <w:rPr>
          <w:szCs w:val="24"/>
        </w:rPr>
        <w:tab/>
      </w:r>
      <w:r w:rsidRPr="00927E98">
        <w:rPr>
          <w:szCs w:val="24"/>
        </w:rPr>
        <w:tab/>
        <w:t>F: 502.473.6462</w:t>
      </w:r>
    </w:p>
    <w:p w:rsidR="00927E98" w:rsidRDefault="00927E98" w:rsidP="002A3773">
      <w:pPr>
        <w:jc w:val="both"/>
        <w:rPr>
          <w:i/>
          <w:szCs w:val="24"/>
        </w:rPr>
      </w:pPr>
      <w:r>
        <w:rPr>
          <w:szCs w:val="24"/>
        </w:rPr>
        <w:tab/>
      </w:r>
      <w:r>
        <w:rPr>
          <w:szCs w:val="24"/>
        </w:rPr>
        <w:tab/>
      </w:r>
      <w:r>
        <w:rPr>
          <w:szCs w:val="24"/>
        </w:rPr>
        <w:tab/>
      </w:r>
      <w:r>
        <w:rPr>
          <w:szCs w:val="24"/>
        </w:rPr>
        <w:tab/>
      </w:r>
      <w:r>
        <w:rPr>
          <w:szCs w:val="24"/>
        </w:rPr>
        <w:tab/>
      </w:r>
      <w:r>
        <w:rPr>
          <w:szCs w:val="24"/>
        </w:rPr>
        <w:tab/>
      </w:r>
      <w:r>
        <w:rPr>
          <w:szCs w:val="24"/>
        </w:rPr>
        <w:tab/>
      </w:r>
      <w:r w:rsidRPr="00927E98">
        <w:rPr>
          <w:i/>
          <w:szCs w:val="24"/>
        </w:rPr>
        <w:t xml:space="preserve">Counsel for Plaintiff, </w:t>
      </w:r>
      <w:r w:rsidR="00BB38A0">
        <w:rPr>
          <w:i/>
          <w:szCs w:val="24"/>
        </w:rPr>
        <w:t>Jason Fisher</w:t>
      </w:r>
    </w:p>
    <w:p w:rsidR="00927E98" w:rsidRDefault="00927E98" w:rsidP="002A3773">
      <w:pPr>
        <w:jc w:val="both"/>
        <w:rPr>
          <w:i/>
          <w:szCs w:val="24"/>
        </w:rPr>
      </w:pPr>
    </w:p>
    <w:p w:rsidR="00927E98" w:rsidRPr="00927E98" w:rsidRDefault="00927E98" w:rsidP="002A3773">
      <w:pPr>
        <w:jc w:val="both"/>
        <w:rPr>
          <w:i/>
          <w:szCs w:val="24"/>
        </w:rPr>
      </w:pPr>
    </w:p>
    <w:p w:rsidR="002A3773" w:rsidRPr="00927E98" w:rsidRDefault="002A3773" w:rsidP="002A3773">
      <w:pPr>
        <w:jc w:val="center"/>
        <w:rPr>
          <w:b/>
          <w:szCs w:val="24"/>
          <w:u w:val="single"/>
        </w:rPr>
      </w:pPr>
    </w:p>
    <w:p w:rsidR="002A3773" w:rsidRPr="00C772FC" w:rsidRDefault="002A3773" w:rsidP="002A3773">
      <w:pPr>
        <w:jc w:val="center"/>
        <w:rPr>
          <w:b/>
          <w:szCs w:val="24"/>
          <w:u w:val="single"/>
        </w:rPr>
      </w:pPr>
      <w:r w:rsidRPr="00C772FC">
        <w:rPr>
          <w:b/>
          <w:szCs w:val="24"/>
          <w:u w:val="single"/>
        </w:rPr>
        <w:t>CERTIFICATE OF SERVICE</w:t>
      </w:r>
    </w:p>
    <w:p w:rsidR="002A3773" w:rsidRDefault="002A3773" w:rsidP="00BB38A0">
      <w:pPr>
        <w:spacing w:line="276" w:lineRule="auto"/>
        <w:jc w:val="center"/>
        <w:rPr>
          <w:b/>
          <w:szCs w:val="24"/>
        </w:rPr>
      </w:pPr>
    </w:p>
    <w:p w:rsidR="002A3773" w:rsidRDefault="002A3773" w:rsidP="00BB38A0">
      <w:pPr>
        <w:spacing w:line="276" w:lineRule="auto"/>
        <w:jc w:val="both"/>
        <w:rPr>
          <w:szCs w:val="24"/>
        </w:rPr>
      </w:pPr>
      <w:r>
        <w:rPr>
          <w:b/>
          <w:szCs w:val="24"/>
        </w:rPr>
        <w:tab/>
      </w:r>
      <w:r>
        <w:rPr>
          <w:szCs w:val="24"/>
        </w:rPr>
        <w:t xml:space="preserve">This is to certify that a true copy of the foregoing pleading was forwarded U.S. Mail, postage prepaid, </w:t>
      </w:r>
      <w:r w:rsidR="00BB38A0">
        <w:rPr>
          <w:szCs w:val="24"/>
        </w:rPr>
        <w:t>this 14</w:t>
      </w:r>
      <w:r w:rsidR="00BB38A0" w:rsidRPr="00BB38A0">
        <w:rPr>
          <w:szCs w:val="24"/>
          <w:vertAlign w:val="superscript"/>
        </w:rPr>
        <w:t>th</w:t>
      </w:r>
      <w:r w:rsidR="00BB38A0">
        <w:rPr>
          <w:szCs w:val="24"/>
        </w:rPr>
        <w:t xml:space="preserve"> </w:t>
      </w:r>
      <w:r w:rsidR="00927E98">
        <w:rPr>
          <w:szCs w:val="24"/>
        </w:rPr>
        <w:t xml:space="preserve">day of </w:t>
      </w:r>
      <w:r w:rsidR="00BB38A0">
        <w:rPr>
          <w:szCs w:val="24"/>
        </w:rPr>
        <w:t>January 2016</w:t>
      </w:r>
      <w:r>
        <w:rPr>
          <w:szCs w:val="24"/>
        </w:rPr>
        <w:t xml:space="preserve"> to the following:</w:t>
      </w:r>
    </w:p>
    <w:p w:rsidR="002A3773" w:rsidRDefault="002A3773" w:rsidP="002A3773">
      <w:pPr>
        <w:jc w:val="both"/>
      </w:pPr>
      <w:r>
        <w:rPr>
          <w:szCs w:val="24"/>
        </w:rPr>
        <w:t xml:space="preserve"> </w:t>
      </w:r>
    </w:p>
    <w:p w:rsidR="002A3773" w:rsidRDefault="002A3773" w:rsidP="002A3773">
      <w:pPr>
        <w:pStyle w:val="NoSpacing"/>
      </w:pPr>
    </w:p>
    <w:p w:rsidR="00927E98" w:rsidRPr="00242402" w:rsidRDefault="00BB38A0" w:rsidP="002A3773">
      <w:pPr>
        <w:pStyle w:val="NoSpacing"/>
        <w:rPr>
          <w:rFonts w:ascii="Times New Roman" w:hAnsi="Times New Roman"/>
        </w:rPr>
      </w:pPr>
      <w:r w:rsidRPr="00242402">
        <w:rPr>
          <w:rFonts w:ascii="Times New Roman" w:hAnsi="Times New Roman"/>
        </w:rPr>
        <w:t>Denis C. Wiggins</w:t>
      </w:r>
    </w:p>
    <w:p w:rsidR="00BB38A0" w:rsidRPr="00242402" w:rsidRDefault="00242402" w:rsidP="002A3773">
      <w:pPr>
        <w:pStyle w:val="NoSpacing"/>
        <w:rPr>
          <w:rFonts w:ascii="Times New Roman" w:hAnsi="Times New Roman"/>
        </w:rPr>
      </w:pPr>
      <w:r w:rsidRPr="00242402">
        <w:rPr>
          <w:rFonts w:ascii="Times New Roman" w:hAnsi="Times New Roman"/>
        </w:rPr>
        <w:t>Christopher M. Mussler</w:t>
      </w:r>
    </w:p>
    <w:p w:rsidR="00242402" w:rsidRPr="00242402" w:rsidRDefault="00242402" w:rsidP="002A3773">
      <w:pPr>
        <w:pStyle w:val="NoSpacing"/>
        <w:rPr>
          <w:rFonts w:ascii="Times New Roman" w:hAnsi="Times New Roman"/>
        </w:rPr>
      </w:pPr>
      <w:r w:rsidRPr="00242402">
        <w:rPr>
          <w:rFonts w:ascii="Times New Roman" w:hAnsi="Times New Roman"/>
        </w:rPr>
        <w:t>Alexander J. Kuebbing</w:t>
      </w:r>
    </w:p>
    <w:p w:rsidR="00242402" w:rsidRPr="00242402" w:rsidRDefault="00242402" w:rsidP="002A3773">
      <w:pPr>
        <w:pStyle w:val="NoSpacing"/>
        <w:rPr>
          <w:rFonts w:ascii="Times New Roman" w:hAnsi="Times New Roman"/>
        </w:rPr>
      </w:pPr>
      <w:r w:rsidRPr="00242402">
        <w:rPr>
          <w:rFonts w:ascii="Times New Roman" w:hAnsi="Times New Roman"/>
        </w:rPr>
        <w:t>GWIN STEINMETZ &amp; BAIRD, PLLC</w:t>
      </w:r>
    </w:p>
    <w:p w:rsidR="00242402" w:rsidRPr="00242402" w:rsidRDefault="00242402" w:rsidP="002A3773">
      <w:pPr>
        <w:pStyle w:val="NoSpacing"/>
        <w:rPr>
          <w:rFonts w:ascii="Times New Roman" w:hAnsi="Times New Roman"/>
        </w:rPr>
      </w:pPr>
      <w:r w:rsidRPr="00242402">
        <w:rPr>
          <w:rFonts w:ascii="Times New Roman" w:hAnsi="Times New Roman"/>
        </w:rPr>
        <w:t>401 W. Main Street, Suite 1000</w:t>
      </w:r>
    </w:p>
    <w:p w:rsidR="00242402" w:rsidRPr="00242402" w:rsidRDefault="00242402" w:rsidP="002A3773">
      <w:pPr>
        <w:pStyle w:val="NoSpacing"/>
        <w:rPr>
          <w:rFonts w:ascii="Times New Roman" w:hAnsi="Times New Roman"/>
        </w:rPr>
      </w:pPr>
      <w:r w:rsidRPr="00242402">
        <w:rPr>
          <w:rFonts w:ascii="Times New Roman" w:hAnsi="Times New Roman"/>
        </w:rPr>
        <w:t>Louisville, KY 40202</w:t>
      </w:r>
    </w:p>
    <w:p w:rsidR="00242402" w:rsidRPr="00242402" w:rsidRDefault="00242402" w:rsidP="002A3773">
      <w:pPr>
        <w:pStyle w:val="NoSpacing"/>
        <w:rPr>
          <w:rFonts w:ascii="Times New Roman" w:hAnsi="Times New Roman"/>
          <w:i/>
        </w:rPr>
      </w:pPr>
      <w:r w:rsidRPr="00242402">
        <w:rPr>
          <w:rFonts w:ascii="Times New Roman" w:hAnsi="Times New Roman"/>
          <w:i/>
        </w:rPr>
        <w:t>Co-Counsel for Defendant, Omar Mohamed</w:t>
      </w:r>
    </w:p>
    <w:p w:rsidR="00242402" w:rsidRPr="00242402" w:rsidRDefault="00242402" w:rsidP="002A3773">
      <w:pPr>
        <w:pStyle w:val="NoSpacing"/>
        <w:rPr>
          <w:rFonts w:ascii="Times New Roman" w:hAnsi="Times New Roman"/>
        </w:rPr>
      </w:pPr>
    </w:p>
    <w:p w:rsidR="00242402" w:rsidRPr="00242402" w:rsidRDefault="00242402" w:rsidP="002A3773">
      <w:pPr>
        <w:pStyle w:val="NoSpacing"/>
        <w:rPr>
          <w:rFonts w:ascii="Times New Roman" w:hAnsi="Times New Roman"/>
        </w:rPr>
      </w:pPr>
      <w:r w:rsidRPr="00242402">
        <w:rPr>
          <w:rFonts w:ascii="Times New Roman" w:hAnsi="Times New Roman"/>
        </w:rPr>
        <w:t>Aaron Kemper</w:t>
      </w:r>
    </w:p>
    <w:p w:rsidR="00242402" w:rsidRPr="00242402" w:rsidRDefault="00242402" w:rsidP="002A3773">
      <w:pPr>
        <w:pStyle w:val="NoSpacing"/>
        <w:rPr>
          <w:rFonts w:ascii="Times New Roman" w:hAnsi="Times New Roman"/>
        </w:rPr>
      </w:pPr>
      <w:r w:rsidRPr="00242402">
        <w:rPr>
          <w:rFonts w:ascii="Times New Roman" w:hAnsi="Times New Roman"/>
        </w:rPr>
        <w:t>COLEMAN ROLES &amp; ASSOCIATES PLLC</w:t>
      </w:r>
    </w:p>
    <w:p w:rsidR="00242402" w:rsidRPr="00242402" w:rsidRDefault="00242402" w:rsidP="002A3773">
      <w:pPr>
        <w:pStyle w:val="NoSpacing"/>
        <w:rPr>
          <w:rFonts w:ascii="Times New Roman" w:hAnsi="Times New Roman"/>
        </w:rPr>
      </w:pPr>
      <w:r w:rsidRPr="00242402">
        <w:rPr>
          <w:rFonts w:ascii="Times New Roman" w:hAnsi="Times New Roman"/>
        </w:rPr>
        <w:t>1009 South 4</w:t>
      </w:r>
      <w:r w:rsidRPr="00242402">
        <w:rPr>
          <w:rFonts w:ascii="Times New Roman" w:hAnsi="Times New Roman"/>
          <w:vertAlign w:val="superscript"/>
        </w:rPr>
        <w:t>th</w:t>
      </w:r>
      <w:r w:rsidRPr="00242402">
        <w:rPr>
          <w:rFonts w:ascii="Times New Roman" w:hAnsi="Times New Roman"/>
        </w:rPr>
        <w:t xml:space="preserve"> Street</w:t>
      </w:r>
    </w:p>
    <w:p w:rsidR="00242402" w:rsidRPr="00242402" w:rsidRDefault="00242402" w:rsidP="002A3773">
      <w:pPr>
        <w:pStyle w:val="NoSpacing"/>
        <w:rPr>
          <w:rFonts w:ascii="Times New Roman" w:hAnsi="Times New Roman"/>
        </w:rPr>
      </w:pPr>
      <w:r w:rsidRPr="00242402">
        <w:rPr>
          <w:rFonts w:ascii="Times New Roman" w:hAnsi="Times New Roman"/>
        </w:rPr>
        <w:t>Louisville, KY 40203</w:t>
      </w:r>
    </w:p>
    <w:p w:rsidR="00242402" w:rsidRDefault="00242402" w:rsidP="002A3773">
      <w:pPr>
        <w:pStyle w:val="NoSpacing"/>
        <w:rPr>
          <w:rFonts w:ascii="Times New Roman" w:hAnsi="Times New Roman"/>
          <w:i/>
        </w:rPr>
      </w:pPr>
      <w:r w:rsidRPr="00242402">
        <w:rPr>
          <w:rFonts w:ascii="Times New Roman" w:hAnsi="Times New Roman"/>
          <w:i/>
        </w:rPr>
        <w:t>Co-Counsel for Defendant, Omar Mohamed</w:t>
      </w:r>
    </w:p>
    <w:p w:rsidR="00242402" w:rsidRDefault="00242402" w:rsidP="002A3773">
      <w:pPr>
        <w:pStyle w:val="NoSpacing"/>
      </w:pPr>
    </w:p>
    <w:p w:rsidR="00242402" w:rsidRDefault="00242402" w:rsidP="002A3773">
      <w:pPr>
        <w:pStyle w:val="NoSpacing"/>
      </w:pPr>
    </w:p>
    <w:p w:rsidR="002A3773" w:rsidRDefault="002A3773" w:rsidP="002A3773">
      <w:pPr>
        <w:jc w:val="both"/>
        <w:rPr>
          <w:szCs w:val="24"/>
        </w:rPr>
      </w:pPr>
    </w:p>
    <w:p w:rsidR="002A3773" w:rsidRDefault="002A3773" w:rsidP="002A3773">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___________________________</w:t>
      </w:r>
    </w:p>
    <w:p w:rsidR="00110258" w:rsidRPr="007B29E7" w:rsidRDefault="00927E98" w:rsidP="00BB38A0">
      <w:pPr>
        <w:widowControl w:val="0"/>
        <w:tabs>
          <w:tab w:val="left" w:pos="0"/>
          <w:tab w:val="left" w:pos="0"/>
          <w:tab w:val="left" w:pos="0"/>
          <w:tab w:val="left" w:pos="0"/>
          <w:tab w:val="left" w:pos="0"/>
          <w:tab w:val="left" w:pos="0"/>
          <w:tab w:val="left" w:pos="0"/>
          <w:tab w:val="left" w:pos="0"/>
          <w:tab w:val="left" w:leader="dot" w:pos="0"/>
          <w:tab w:val="center" w:leader="dot" w:pos="0"/>
          <w:tab w:val="right" w:pos="0"/>
          <w:tab w:val="right" w:pos="0"/>
          <w:tab w:val="decimal" w:leader="dot" w:pos="0"/>
          <w:tab w:val="left" w:pos="0"/>
          <w:tab w:val="left" w:pos="0"/>
          <w:tab w:val="left" w:pos="0"/>
          <w:tab w:val="left" w:pos="0"/>
          <w:tab w:val="left" w:pos="0"/>
          <w:tab w:val="left" w:pos="0"/>
          <w:tab w:val="left" w:leader="dot" w:pos="0"/>
          <w:tab w:val="left" w:pos="540"/>
          <w:tab w:val="left" w:pos="0"/>
          <w:tab w:val="left" w:pos="0"/>
          <w:tab w:val="left" w:pos="0"/>
          <w:tab w:val="left" w:pos="0"/>
          <w:tab w:val="left" w:pos="0"/>
          <w:tab w:val="left" w:pos="2358"/>
          <w:tab w:val="left" w:pos="0"/>
          <w:tab w:val="left" w:pos="0"/>
          <w:tab w:val="left" w:pos="0"/>
          <w:tab w:val="left" w:pos="0"/>
          <w:tab w:val="left" w:pos="0"/>
          <w:tab w:val="left" w:pos="0"/>
          <w:tab w:val="left" w:pos="0"/>
          <w:tab w:val="left" w:pos="0"/>
          <w:tab w:val="left" w:pos="0"/>
        </w:tabs>
        <w:spacing w:line="480" w:lineRule="auto"/>
        <w:rPr>
          <w:rFonts w:ascii="Book Antiqua" w:hAnsi="Book Antiqua"/>
          <w:sz w:val="23"/>
          <w:szCs w:val="23"/>
        </w:rPr>
      </w:pPr>
      <w:r>
        <w:rPr>
          <w:szCs w:val="24"/>
        </w:rPr>
        <w:tab/>
      </w:r>
      <w:r>
        <w:rPr>
          <w:szCs w:val="24"/>
        </w:rPr>
        <w:tab/>
      </w:r>
      <w:r>
        <w:rPr>
          <w:szCs w:val="24"/>
        </w:rPr>
        <w:tab/>
      </w:r>
      <w:r>
        <w:rPr>
          <w:szCs w:val="24"/>
        </w:rPr>
        <w:tab/>
      </w:r>
      <w:r>
        <w:rPr>
          <w:szCs w:val="24"/>
        </w:rPr>
        <w:tab/>
      </w:r>
      <w:r>
        <w:rPr>
          <w:szCs w:val="24"/>
        </w:rPr>
        <w:tab/>
      </w:r>
      <w:r w:rsidR="00BB38A0">
        <w:rPr>
          <w:szCs w:val="24"/>
        </w:rPr>
        <w:t>Aaron M. Murphy</w:t>
      </w:r>
    </w:p>
    <w:sectPr w:rsidR="00110258" w:rsidRPr="007B29E7" w:rsidSect="00187C72">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2F3F" w:rsidRDefault="00972F3F" w:rsidP="007B3D86">
      <w:r>
        <w:separator/>
      </w:r>
    </w:p>
  </w:endnote>
  <w:endnote w:type="continuationSeparator" w:id="0">
    <w:p w:rsidR="00972F3F" w:rsidRDefault="00972F3F" w:rsidP="007B3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Gothic">
    <w:altName w:val="Yu Gothic UI"/>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2F3F" w:rsidRDefault="00972F3F" w:rsidP="007B3D86">
      <w:r>
        <w:separator/>
      </w:r>
    </w:p>
  </w:footnote>
  <w:footnote w:type="continuationSeparator" w:id="0">
    <w:p w:rsidR="00972F3F" w:rsidRDefault="00972F3F" w:rsidP="007B3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F663B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decimal"/>
      <w:suff w:val="nothing"/>
      <w:lvlText w:val="%1."/>
      <w:lvlJc w:val="left"/>
    </w:lvl>
    <w:lvl w:ilvl="1">
      <w:start w:val="1"/>
      <w:numFmt w:val="decimal"/>
      <w:suff w:val="nothing"/>
      <w:lvlText w:val="%2."/>
      <w:lvlJc w:val="left"/>
    </w:lvl>
    <w:lvl w:ilvl="2">
      <w:start w:val="1"/>
      <w:numFmt w:val="upperLetter"/>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start w:val="1"/>
      <w:numFmt w:val="lowerRoman"/>
      <w:suff w:val="nothing"/>
      <w:lvlText w:val="%9)"/>
      <w:lvlJc w:val="left"/>
    </w:lvl>
  </w:abstractNum>
  <w:abstractNum w:abstractNumId="2" w15:restartNumberingAfterBreak="0">
    <w:nsid w:val="00000002"/>
    <w:multiLevelType w:val="multilevel"/>
    <w:tmpl w:val="00000002"/>
    <w:lvl w:ilvl="0">
      <w:start w:val="1"/>
      <w:numFmt w:val="decimal"/>
      <w:suff w:val="nothing"/>
      <w:lvlText w:val="%1."/>
      <w:lvlJc w:val="left"/>
    </w:lvl>
    <w:lvl w:ilvl="1">
      <w:start w:val="1"/>
      <w:numFmt w:val="decimal"/>
      <w:suff w:val="nothing"/>
      <w:lvlText w:val="%2."/>
      <w:lvlJc w:val="left"/>
    </w:lvl>
    <w:lvl w:ilvl="2">
      <w:start w:val="1"/>
      <w:numFmt w:val="upperLetter"/>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start w:val="1"/>
      <w:numFmt w:val="lowerRoman"/>
      <w:suff w:val="nothing"/>
      <w:lvlText w:val="%9)"/>
      <w:lvlJc w:val="left"/>
    </w:lvl>
  </w:abstractNum>
  <w:abstractNum w:abstractNumId="3" w15:restartNumberingAfterBreak="0">
    <w:nsid w:val="08874AEF"/>
    <w:multiLevelType w:val="hybridMultilevel"/>
    <w:tmpl w:val="4A504D28"/>
    <w:lvl w:ilvl="0" w:tplc="847275D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41B34384"/>
    <w:multiLevelType w:val="hybridMultilevel"/>
    <w:tmpl w:val="A344D328"/>
    <w:lvl w:ilvl="0" w:tplc="055CFBD4">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4F175E56"/>
    <w:multiLevelType w:val="hybridMultilevel"/>
    <w:tmpl w:val="807214A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5A3F59DF"/>
    <w:multiLevelType w:val="hybridMultilevel"/>
    <w:tmpl w:val="C68C8094"/>
    <w:lvl w:ilvl="0" w:tplc="B7DE517E">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15:restartNumberingAfterBreak="0">
    <w:nsid w:val="5F1B6716"/>
    <w:multiLevelType w:val="hybridMultilevel"/>
    <w:tmpl w:val="FB1E7A44"/>
    <w:lvl w:ilvl="0" w:tplc="27C88C32">
      <w:start w:val="1"/>
      <w:numFmt w:val="decimal"/>
      <w:lvlText w:val="%1."/>
      <w:lvlJc w:val="left"/>
      <w:pPr>
        <w:ind w:left="2340" w:hanging="360"/>
      </w:pPr>
      <w:rPr>
        <w:rFonts w:hint="default"/>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67AD24D9"/>
    <w:multiLevelType w:val="hybridMultilevel"/>
    <w:tmpl w:val="E3640C8E"/>
    <w:lvl w:ilvl="0" w:tplc="F9C2330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8"/>
  </w:num>
  <w:num w:numId="5">
    <w:abstractNumId w:val="6"/>
  </w:num>
  <w:num w:numId="6">
    <w:abstractNumId w:val="5"/>
  </w:num>
  <w:num w:numId="7">
    <w:abstractNumId w:val="3"/>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546"/>
    <w:rsid w:val="000724D0"/>
    <w:rsid w:val="000777CB"/>
    <w:rsid w:val="00110258"/>
    <w:rsid w:val="00187C72"/>
    <w:rsid w:val="001D0D94"/>
    <w:rsid w:val="001D450E"/>
    <w:rsid w:val="00206C7E"/>
    <w:rsid w:val="00220626"/>
    <w:rsid w:val="002402FE"/>
    <w:rsid w:val="00241DAE"/>
    <w:rsid w:val="00242402"/>
    <w:rsid w:val="002528C4"/>
    <w:rsid w:val="002655EB"/>
    <w:rsid w:val="002857F5"/>
    <w:rsid w:val="002A3773"/>
    <w:rsid w:val="002A688C"/>
    <w:rsid w:val="003006AF"/>
    <w:rsid w:val="00304B94"/>
    <w:rsid w:val="003312C0"/>
    <w:rsid w:val="003337A7"/>
    <w:rsid w:val="00356B49"/>
    <w:rsid w:val="003B5664"/>
    <w:rsid w:val="003E29C3"/>
    <w:rsid w:val="003F0FEE"/>
    <w:rsid w:val="004143FA"/>
    <w:rsid w:val="00432A15"/>
    <w:rsid w:val="004907CA"/>
    <w:rsid w:val="004C0C7E"/>
    <w:rsid w:val="004D761D"/>
    <w:rsid w:val="00515DE6"/>
    <w:rsid w:val="005208F7"/>
    <w:rsid w:val="005233C1"/>
    <w:rsid w:val="00532C3B"/>
    <w:rsid w:val="00564895"/>
    <w:rsid w:val="005C123D"/>
    <w:rsid w:val="005C3BB5"/>
    <w:rsid w:val="005F6E9C"/>
    <w:rsid w:val="00662DC4"/>
    <w:rsid w:val="006738EE"/>
    <w:rsid w:val="0068696A"/>
    <w:rsid w:val="006C5BE2"/>
    <w:rsid w:val="006F246D"/>
    <w:rsid w:val="006F53A7"/>
    <w:rsid w:val="007075DA"/>
    <w:rsid w:val="007B29E7"/>
    <w:rsid w:val="007B3D86"/>
    <w:rsid w:val="007C2C1B"/>
    <w:rsid w:val="007C35DD"/>
    <w:rsid w:val="007C74D7"/>
    <w:rsid w:val="00840101"/>
    <w:rsid w:val="00871EDC"/>
    <w:rsid w:val="008A2E89"/>
    <w:rsid w:val="008A3659"/>
    <w:rsid w:val="008D7CF4"/>
    <w:rsid w:val="008F7355"/>
    <w:rsid w:val="00927E98"/>
    <w:rsid w:val="0093537D"/>
    <w:rsid w:val="00972F3F"/>
    <w:rsid w:val="00991571"/>
    <w:rsid w:val="00997354"/>
    <w:rsid w:val="009C16AF"/>
    <w:rsid w:val="00A04546"/>
    <w:rsid w:val="00A153E0"/>
    <w:rsid w:val="00A30F8D"/>
    <w:rsid w:val="00A31846"/>
    <w:rsid w:val="00A7736B"/>
    <w:rsid w:val="00A858C5"/>
    <w:rsid w:val="00A90B28"/>
    <w:rsid w:val="00AF726D"/>
    <w:rsid w:val="00B80898"/>
    <w:rsid w:val="00BB38A0"/>
    <w:rsid w:val="00C147AF"/>
    <w:rsid w:val="00C363DC"/>
    <w:rsid w:val="00C622F3"/>
    <w:rsid w:val="00D6012F"/>
    <w:rsid w:val="00D72F99"/>
    <w:rsid w:val="00DD1AF4"/>
    <w:rsid w:val="00DF4DD3"/>
    <w:rsid w:val="00DF6AAD"/>
    <w:rsid w:val="00E10356"/>
    <w:rsid w:val="00E729F8"/>
    <w:rsid w:val="00EC3DE6"/>
    <w:rsid w:val="00EF679A"/>
    <w:rsid w:val="00F528AC"/>
    <w:rsid w:val="00F64AA2"/>
    <w:rsid w:val="00F74123"/>
    <w:rsid w:val="00F777D7"/>
    <w:rsid w:val="00FE4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DD8DC8"/>
  <w15:docId w15:val="{E9FAE70D-631B-427D-9566-FC967F42F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761D"/>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
    <w:name w:val="ANSWER"/>
    <w:basedOn w:val="Normal"/>
    <w:rsid w:val="004D761D"/>
    <w:pPr>
      <w:widowControl w:val="0"/>
      <w:jc w:val="both"/>
    </w:pPr>
  </w:style>
  <w:style w:type="paragraph" w:customStyle="1" w:styleId="Level2">
    <w:name w:val="Level 2"/>
    <w:basedOn w:val="Normal"/>
    <w:rsid w:val="004D761D"/>
    <w:pPr>
      <w:widowControl w:val="0"/>
    </w:pPr>
  </w:style>
  <w:style w:type="paragraph" w:customStyle="1" w:styleId="Level3">
    <w:name w:val="Level 3"/>
    <w:basedOn w:val="Normal"/>
    <w:rsid w:val="004D761D"/>
    <w:pPr>
      <w:widowControl w:val="0"/>
    </w:pPr>
  </w:style>
  <w:style w:type="paragraph" w:customStyle="1" w:styleId="Level4">
    <w:name w:val="Level 4"/>
    <w:basedOn w:val="Normal"/>
    <w:rsid w:val="004D761D"/>
    <w:pPr>
      <w:widowControl w:val="0"/>
    </w:pPr>
  </w:style>
  <w:style w:type="paragraph" w:customStyle="1" w:styleId="Level5">
    <w:name w:val="Level 5"/>
    <w:basedOn w:val="Normal"/>
    <w:rsid w:val="004D761D"/>
    <w:pPr>
      <w:widowControl w:val="0"/>
    </w:pPr>
  </w:style>
  <w:style w:type="paragraph" w:customStyle="1" w:styleId="Level6">
    <w:name w:val="Level 6"/>
    <w:basedOn w:val="Normal"/>
    <w:rsid w:val="004D761D"/>
    <w:pPr>
      <w:widowControl w:val="0"/>
    </w:pPr>
  </w:style>
  <w:style w:type="paragraph" w:customStyle="1" w:styleId="Level7">
    <w:name w:val="Level 7"/>
    <w:basedOn w:val="Normal"/>
    <w:rsid w:val="004D761D"/>
    <w:pPr>
      <w:widowControl w:val="0"/>
    </w:pPr>
  </w:style>
  <w:style w:type="paragraph" w:customStyle="1" w:styleId="Level8">
    <w:name w:val="Level 8"/>
    <w:basedOn w:val="Normal"/>
    <w:rsid w:val="004D761D"/>
    <w:pPr>
      <w:widowControl w:val="0"/>
    </w:pPr>
  </w:style>
  <w:style w:type="paragraph" w:customStyle="1" w:styleId="Level9">
    <w:name w:val="Level 9"/>
    <w:basedOn w:val="Normal"/>
    <w:rsid w:val="004D761D"/>
    <w:pPr>
      <w:widowControl w:val="0"/>
    </w:pPr>
    <w:rPr>
      <w:b/>
    </w:rPr>
  </w:style>
  <w:style w:type="paragraph" w:styleId="Footer">
    <w:name w:val="footer"/>
    <w:basedOn w:val="Normal"/>
    <w:link w:val="FooterChar"/>
    <w:uiPriority w:val="99"/>
    <w:unhideWhenUsed/>
    <w:rsid w:val="007B3D86"/>
    <w:pPr>
      <w:tabs>
        <w:tab w:val="center" w:pos="4320"/>
        <w:tab w:val="right" w:pos="8640"/>
      </w:tabs>
    </w:pPr>
  </w:style>
  <w:style w:type="character" w:customStyle="1" w:styleId="FooterChar">
    <w:name w:val="Footer Char"/>
    <w:basedOn w:val="DefaultParagraphFont"/>
    <w:link w:val="Footer"/>
    <w:uiPriority w:val="99"/>
    <w:rsid w:val="007B3D86"/>
    <w:rPr>
      <w:sz w:val="24"/>
    </w:rPr>
  </w:style>
  <w:style w:type="character" w:styleId="PageNumber">
    <w:name w:val="page number"/>
    <w:basedOn w:val="DefaultParagraphFont"/>
    <w:uiPriority w:val="99"/>
    <w:semiHidden/>
    <w:unhideWhenUsed/>
    <w:rsid w:val="007B3D86"/>
  </w:style>
  <w:style w:type="paragraph" w:styleId="ListParagraph">
    <w:name w:val="List Paragraph"/>
    <w:basedOn w:val="Normal"/>
    <w:uiPriority w:val="34"/>
    <w:qFormat/>
    <w:rsid w:val="00991571"/>
    <w:pPr>
      <w:ind w:left="720"/>
      <w:contextualSpacing/>
    </w:pPr>
  </w:style>
  <w:style w:type="paragraph" w:styleId="Header">
    <w:name w:val="header"/>
    <w:basedOn w:val="Normal"/>
    <w:link w:val="HeaderChar"/>
    <w:uiPriority w:val="99"/>
    <w:unhideWhenUsed/>
    <w:rsid w:val="003337A7"/>
    <w:pPr>
      <w:tabs>
        <w:tab w:val="center" w:pos="4320"/>
        <w:tab w:val="right" w:pos="8640"/>
      </w:tabs>
    </w:pPr>
  </w:style>
  <w:style w:type="character" w:customStyle="1" w:styleId="HeaderChar">
    <w:name w:val="Header Char"/>
    <w:basedOn w:val="DefaultParagraphFont"/>
    <w:link w:val="Header"/>
    <w:uiPriority w:val="99"/>
    <w:rsid w:val="003337A7"/>
    <w:rPr>
      <w:sz w:val="24"/>
    </w:rPr>
  </w:style>
  <w:style w:type="paragraph" w:styleId="NoSpacing">
    <w:name w:val="No Spacing"/>
    <w:uiPriority w:val="1"/>
    <w:qFormat/>
    <w:rsid w:val="009C16AF"/>
    <w:pPr>
      <w:widowControl w:val="0"/>
      <w:autoSpaceDE w:val="0"/>
      <w:autoSpaceDN w:val="0"/>
      <w:adjustRightInd w:val="0"/>
    </w:pPr>
    <w:rPr>
      <w:rFonts w:ascii="Courier" w:hAnsi="Courier"/>
      <w:sz w:val="24"/>
      <w:szCs w:val="24"/>
    </w:rPr>
  </w:style>
  <w:style w:type="character" w:customStyle="1" w:styleId="documentbody">
    <w:name w:val="documentbody"/>
    <w:rsid w:val="002A3773"/>
  </w:style>
  <w:style w:type="paragraph" w:styleId="BalloonText">
    <w:name w:val="Balloon Text"/>
    <w:basedOn w:val="Normal"/>
    <w:link w:val="BalloonTextChar"/>
    <w:uiPriority w:val="99"/>
    <w:semiHidden/>
    <w:unhideWhenUsed/>
    <w:rsid w:val="002528C4"/>
    <w:rPr>
      <w:rFonts w:ascii="Tahoma" w:hAnsi="Tahoma" w:cs="Tahoma"/>
      <w:sz w:val="16"/>
      <w:szCs w:val="16"/>
    </w:rPr>
  </w:style>
  <w:style w:type="character" w:customStyle="1" w:styleId="BalloonTextChar">
    <w:name w:val="Balloon Text Char"/>
    <w:basedOn w:val="DefaultParagraphFont"/>
    <w:link w:val="BalloonText"/>
    <w:uiPriority w:val="99"/>
    <w:semiHidden/>
    <w:rsid w:val="002528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623004">
      <w:bodyDiv w:val="1"/>
      <w:marLeft w:val="0"/>
      <w:marRight w:val="0"/>
      <w:marTop w:val="0"/>
      <w:marBottom w:val="0"/>
      <w:divBdr>
        <w:top w:val="none" w:sz="0" w:space="0" w:color="auto"/>
        <w:left w:val="none" w:sz="0" w:space="0" w:color="auto"/>
        <w:bottom w:val="none" w:sz="0" w:space="0" w:color="auto"/>
        <w:right w:val="none" w:sz="0" w:space="0" w:color="auto"/>
      </w:divBdr>
    </w:div>
    <w:div w:id="2034840275">
      <w:bodyDiv w:val="1"/>
      <w:marLeft w:val="0"/>
      <w:marRight w:val="0"/>
      <w:marTop w:val="0"/>
      <w:marBottom w:val="0"/>
      <w:divBdr>
        <w:top w:val="none" w:sz="0" w:space="0" w:color="auto"/>
        <w:left w:val="none" w:sz="0" w:space="0" w:color="auto"/>
        <w:bottom w:val="none" w:sz="0" w:space="0" w:color="auto"/>
        <w:right w:val="none" w:sz="0" w:space="0" w:color="auto"/>
      </w:divBdr>
    </w:div>
    <w:div w:id="2093121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Layne</dc:creator>
  <cp:lastModifiedBy>Celia Hibben</cp:lastModifiedBy>
  <cp:revision>3</cp:revision>
  <cp:lastPrinted>2014-05-29T13:32:00Z</cp:lastPrinted>
  <dcterms:created xsi:type="dcterms:W3CDTF">2016-01-14T18:42:00Z</dcterms:created>
  <dcterms:modified xsi:type="dcterms:W3CDTF">2016-01-14T18:45:00Z</dcterms:modified>
</cp:coreProperties>
</file>