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635C" w:rsidRDefault="008750E5">
      <w:pPr>
        <w:tabs>
          <w:tab w:val="center" w:pos="4680"/>
          <w:tab w:val="right" w:pos="9360"/>
        </w:tabs>
        <w:rPr>
          <w:rFonts w:ascii="Times New Roman" w:hAnsi="Times New Roman"/>
          <w:sz w:val="24"/>
        </w:rPr>
      </w:pPr>
      <w:r>
        <w:rPr>
          <w:rFonts w:ascii="Times New Roman" w:hAnsi="Times New Roman"/>
          <w:sz w:val="24"/>
        </w:rPr>
        <w:t>NO. 15-CI-0233</w:t>
      </w:r>
      <w:r w:rsidR="0070635C">
        <w:rPr>
          <w:rFonts w:ascii="Times New Roman" w:hAnsi="Times New Roman"/>
          <w:sz w:val="24"/>
        </w:rPr>
        <w:tab/>
      </w:r>
      <w:r w:rsidR="0070635C">
        <w:rPr>
          <w:rFonts w:ascii="Times New Roman" w:hAnsi="Times New Roman"/>
          <w:sz w:val="24"/>
        </w:rPr>
        <w:tab/>
        <w:t>JEFFERSON CIRCUIT COURT</w:t>
      </w:r>
    </w:p>
    <w:p w:rsidR="0070635C" w:rsidRDefault="008750E5">
      <w:pPr>
        <w:tabs>
          <w:tab w:val="center" w:pos="4680"/>
          <w:tab w:val="right" w:pos="9360"/>
        </w:tabs>
        <w:rPr>
          <w:rFonts w:ascii="Times New Roman" w:hAnsi="Times New Roman"/>
          <w:sz w:val="24"/>
        </w:rPr>
      </w:pPr>
      <w:r>
        <w:rPr>
          <w:rFonts w:ascii="Times New Roman" w:hAnsi="Times New Roman"/>
          <w:sz w:val="24"/>
        </w:rPr>
        <w:tab/>
      </w:r>
      <w:r>
        <w:rPr>
          <w:rFonts w:ascii="Times New Roman" w:hAnsi="Times New Roman"/>
          <w:sz w:val="24"/>
        </w:rPr>
        <w:tab/>
        <w:t xml:space="preserve">DIVISION SIX </w:t>
      </w:r>
      <w:r w:rsidR="0070635C">
        <w:rPr>
          <w:rFonts w:ascii="Times New Roman" w:hAnsi="Times New Roman"/>
          <w:sz w:val="24"/>
        </w:rPr>
        <w:t>(</w:t>
      </w:r>
      <w:r>
        <w:rPr>
          <w:rFonts w:ascii="Times New Roman" w:hAnsi="Times New Roman"/>
          <w:sz w:val="24"/>
        </w:rPr>
        <w:t>6</w:t>
      </w:r>
      <w:r w:rsidR="0070635C">
        <w:rPr>
          <w:rFonts w:ascii="Times New Roman" w:hAnsi="Times New Roman"/>
          <w:sz w:val="24"/>
        </w:rPr>
        <w:t>)</w:t>
      </w:r>
    </w:p>
    <w:p w:rsidR="0070635C" w:rsidRDefault="008750E5">
      <w:pPr>
        <w:tabs>
          <w:tab w:val="center" w:pos="4680"/>
          <w:tab w:val="right" w:pos="9360"/>
        </w:tabs>
        <w:rPr>
          <w:rFonts w:ascii="Times New Roman" w:hAnsi="Times New Roman"/>
          <w:sz w:val="24"/>
        </w:rPr>
      </w:pPr>
      <w:r>
        <w:rPr>
          <w:rFonts w:ascii="Times New Roman" w:hAnsi="Times New Roman"/>
          <w:sz w:val="24"/>
        </w:rPr>
        <w:tab/>
      </w:r>
      <w:r>
        <w:rPr>
          <w:rFonts w:ascii="Times New Roman" w:hAnsi="Times New Roman"/>
          <w:sz w:val="24"/>
        </w:rPr>
        <w:tab/>
        <w:t>JUDGE OLU STEVENS</w:t>
      </w:r>
    </w:p>
    <w:p w:rsidR="0070635C" w:rsidRDefault="0070635C">
      <w:pPr>
        <w:tabs>
          <w:tab w:val="left" w:pos="4680"/>
          <w:tab w:val="left" w:pos="5629"/>
          <w:tab w:val="left" w:pos="9360"/>
        </w:tabs>
        <w:rPr>
          <w:rFonts w:ascii="Times New Roman" w:hAnsi="Times New Roman"/>
          <w:sz w:val="24"/>
        </w:rPr>
      </w:pPr>
      <w:r>
        <w:rPr>
          <w:rFonts w:ascii="Times New Roman" w:hAnsi="Times New Roman"/>
          <w:sz w:val="24"/>
        </w:rPr>
        <w:tab/>
      </w:r>
    </w:p>
    <w:p w:rsidR="0070635C" w:rsidRDefault="0070635C">
      <w:pPr>
        <w:ind w:left="2160" w:right="2160"/>
        <w:jc w:val="center"/>
        <w:rPr>
          <w:rFonts w:ascii="Times New Roman" w:hAnsi="Times New Roman"/>
          <w:b/>
          <w:sz w:val="24"/>
        </w:rPr>
      </w:pPr>
      <w:r>
        <w:rPr>
          <w:rFonts w:ascii="Times New Roman" w:hAnsi="Times New Roman"/>
          <w:b/>
          <w:sz w:val="24"/>
        </w:rPr>
        <w:t xml:space="preserve">                                                        </w:t>
      </w:r>
    </w:p>
    <w:p w:rsidR="0070635C" w:rsidRDefault="008750E5">
      <w:pPr>
        <w:tabs>
          <w:tab w:val="center" w:pos="4680"/>
          <w:tab w:val="right" w:pos="9360"/>
        </w:tabs>
        <w:rPr>
          <w:rFonts w:ascii="Times New Roman" w:hAnsi="Times New Roman"/>
          <w:sz w:val="24"/>
        </w:rPr>
      </w:pPr>
      <w:r>
        <w:rPr>
          <w:rFonts w:ascii="Times New Roman" w:hAnsi="Times New Roman"/>
          <w:sz w:val="24"/>
        </w:rPr>
        <w:t>BRANDON BOYD</w:t>
      </w:r>
      <w:r w:rsidR="0070635C">
        <w:rPr>
          <w:rFonts w:ascii="Times New Roman" w:hAnsi="Times New Roman"/>
          <w:sz w:val="24"/>
        </w:rPr>
        <w:tab/>
      </w:r>
      <w:r w:rsidR="0070635C">
        <w:rPr>
          <w:rFonts w:ascii="Times New Roman" w:hAnsi="Times New Roman"/>
          <w:sz w:val="24"/>
        </w:rPr>
        <w:tab/>
        <w:t>PLAINTIFF</w:t>
      </w:r>
    </w:p>
    <w:p w:rsidR="0070635C" w:rsidRDefault="0070635C">
      <w:pPr>
        <w:tabs>
          <w:tab w:val="center" w:pos="4680"/>
          <w:tab w:val="right" w:pos="9360"/>
        </w:tabs>
        <w:rPr>
          <w:rFonts w:ascii="Times New Roman" w:hAnsi="Times New Roman"/>
          <w:sz w:val="24"/>
        </w:rPr>
      </w:pPr>
    </w:p>
    <w:p w:rsidR="0070635C" w:rsidRDefault="0070635C">
      <w:pPr>
        <w:tabs>
          <w:tab w:val="center" w:pos="4680"/>
          <w:tab w:val="right" w:pos="9360"/>
        </w:tabs>
        <w:rPr>
          <w:rFonts w:ascii="Times New Roman" w:hAnsi="Times New Roman"/>
          <w:sz w:val="24"/>
        </w:rPr>
      </w:pPr>
      <w:r>
        <w:rPr>
          <w:rFonts w:ascii="Times New Roman" w:hAnsi="Times New Roman"/>
          <w:sz w:val="24"/>
        </w:rPr>
        <w:t xml:space="preserve">vs. </w:t>
      </w:r>
      <w:r>
        <w:rPr>
          <w:rFonts w:ascii="Times New Roman" w:hAnsi="Times New Roman"/>
          <w:sz w:val="24"/>
        </w:rPr>
        <w:tab/>
      </w:r>
      <w:r>
        <w:rPr>
          <w:rFonts w:ascii="Times New Roman" w:hAnsi="Times New Roman"/>
          <w:b/>
          <w:sz w:val="24"/>
        </w:rPr>
        <w:t>NOTICE-MOTION-ORDER</w:t>
      </w:r>
    </w:p>
    <w:p w:rsidR="0070635C" w:rsidRDefault="0070635C">
      <w:pPr>
        <w:tabs>
          <w:tab w:val="center" w:pos="4680"/>
          <w:tab w:val="right" w:pos="9360"/>
        </w:tabs>
        <w:rPr>
          <w:rFonts w:ascii="Times New Roman" w:hAnsi="Times New Roman"/>
          <w:sz w:val="24"/>
        </w:rPr>
      </w:pPr>
      <w:r>
        <w:rPr>
          <w:rFonts w:ascii="Times New Roman" w:hAnsi="Times New Roman"/>
          <w:sz w:val="24"/>
        </w:rPr>
        <w:tab/>
      </w:r>
    </w:p>
    <w:p w:rsidR="0070635C" w:rsidRDefault="008750E5">
      <w:pPr>
        <w:tabs>
          <w:tab w:val="center" w:pos="4680"/>
          <w:tab w:val="right" w:pos="9360"/>
        </w:tabs>
        <w:rPr>
          <w:rFonts w:ascii="Times New Roman" w:hAnsi="Times New Roman"/>
          <w:sz w:val="24"/>
        </w:rPr>
      </w:pPr>
      <w:r>
        <w:rPr>
          <w:rFonts w:ascii="Times New Roman" w:hAnsi="Times New Roman"/>
          <w:sz w:val="24"/>
        </w:rPr>
        <w:t>RUSSEL APARTMENTS, et</w:t>
      </w:r>
      <w:r w:rsidR="0070635C">
        <w:rPr>
          <w:rFonts w:ascii="Times New Roman" w:hAnsi="Times New Roman"/>
          <w:sz w:val="24"/>
        </w:rPr>
        <w:t xml:space="preserve"> al. </w:t>
      </w:r>
      <w:r w:rsidR="0070635C">
        <w:rPr>
          <w:rFonts w:ascii="Times New Roman" w:hAnsi="Times New Roman"/>
          <w:sz w:val="24"/>
        </w:rPr>
        <w:tab/>
      </w:r>
      <w:r w:rsidR="0070635C">
        <w:rPr>
          <w:rFonts w:ascii="Times New Roman" w:hAnsi="Times New Roman"/>
          <w:sz w:val="24"/>
        </w:rPr>
        <w:tab/>
        <w:t>DEFENDANTS</w:t>
      </w:r>
    </w:p>
    <w:p w:rsidR="0070635C" w:rsidRDefault="0070635C">
      <w:pPr>
        <w:jc w:val="center"/>
        <w:rPr>
          <w:rFonts w:ascii="Times New Roman" w:hAnsi="Times New Roman"/>
          <w:sz w:val="24"/>
          <w:u w:val="single"/>
        </w:rPr>
      </w:pPr>
    </w:p>
    <w:p w:rsidR="0070635C" w:rsidRDefault="0070635C">
      <w:pPr>
        <w:tabs>
          <w:tab w:val="center" w:pos="4680"/>
          <w:tab w:val="right" w:pos="9360"/>
        </w:tabs>
        <w:jc w:val="center"/>
        <w:rPr>
          <w:rFonts w:ascii="Times New Roman" w:hAnsi="Times New Roman"/>
          <w:sz w:val="24"/>
        </w:rPr>
      </w:pPr>
      <w:r>
        <w:rPr>
          <w:rFonts w:ascii="Times New Roman" w:hAnsi="Times New Roman"/>
          <w:sz w:val="24"/>
        </w:rPr>
        <w:t>* * * * * * * * *</w:t>
      </w:r>
    </w:p>
    <w:p w:rsidR="0070635C" w:rsidRDefault="0070635C">
      <w:pPr>
        <w:jc w:val="center"/>
        <w:rPr>
          <w:rFonts w:ascii="Times New Roman" w:hAnsi="Times New Roman"/>
          <w:b/>
          <w:sz w:val="24"/>
          <w:u w:val="single"/>
        </w:rPr>
      </w:pPr>
    </w:p>
    <w:p w:rsidR="0070635C" w:rsidRDefault="0070635C">
      <w:pPr>
        <w:spacing w:line="480" w:lineRule="auto"/>
        <w:ind w:firstLine="720"/>
        <w:jc w:val="both"/>
        <w:rPr>
          <w:rFonts w:ascii="Times New Roman" w:hAnsi="Times New Roman"/>
          <w:sz w:val="24"/>
        </w:rPr>
      </w:pPr>
      <w:r>
        <w:rPr>
          <w:rFonts w:ascii="Times New Roman" w:hAnsi="Times New Roman"/>
          <w:sz w:val="24"/>
        </w:rPr>
        <w:t xml:space="preserve">Please take notice that the undersigned will, on </w:t>
      </w:r>
      <w:r w:rsidR="00094551">
        <w:rPr>
          <w:rFonts w:ascii="Times New Roman" w:hAnsi="Times New Roman"/>
          <w:sz w:val="24"/>
          <w:highlight w:val="yellow"/>
        </w:rPr>
        <w:t>Thursday, September 18, 201</w:t>
      </w:r>
      <w:r w:rsidR="00094551">
        <w:rPr>
          <w:rFonts w:ascii="Times New Roman" w:hAnsi="Times New Roman"/>
          <w:sz w:val="24"/>
        </w:rPr>
        <w:t>6</w:t>
      </w:r>
      <w:r>
        <w:rPr>
          <w:rFonts w:ascii="Times New Roman" w:hAnsi="Times New Roman"/>
          <w:sz w:val="24"/>
        </w:rPr>
        <w:t xml:space="preserve"> at the hour of </w:t>
      </w:r>
      <w:r w:rsidRPr="00094551">
        <w:rPr>
          <w:rFonts w:ascii="Times New Roman" w:hAnsi="Times New Roman"/>
          <w:sz w:val="24"/>
          <w:highlight w:val="yellow"/>
        </w:rPr>
        <w:t>9:30</w:t>
      </w:r>
      <w:r>
        <w:rPr>
          <w:rFonts w:ascii="Times New Roman" w:hAnsi="Times New Roman"/>
          <w:sz w:val="24"/>
        </w:rPr>
        <w:t xml:space="preserve"> a.m. in the Courtroom of the above Court, make the Motion and tender the Order set forth below.</w:t>
      </w:r>
    </w:p>
    <w:p w:rsidR="0070635C" w:rsidRDefault="0070635C">
      <w:pPr>
        <w:suppressLineNumbers/>
        <w:tabs>
          <w:tab w:val="center" w:pos="4680"/>
          <w:tab w:val="right" w:pos="8640"/>
        </w:tabs>
        <w:suppressAutoHyphens/>
        <w:jc w:val="center"/>
        <w:rPr>
          <w:rFonts w:ascii="Times New Roman" w:hAnsi="Times New Roman"/>
          <w:b/>
          <w:sz w:val="24"/>
        </w:rPr>
      </w:pPr>
      <w:r>
        <w:rPr>
          <w:rFonts w:ascii="Times New Roman" w:hAnsi="Times New Roman"/>
          <w:b/>
          <w:sz w:val="24"/>
        </w:rPr>
        <w:t>PLAINTIFF’S</w:t>
      </w:r>
      <w:r>
        <w:rPr>
          <w:rFonts w:ascii="Times New Roman" w:hAnsi="Times New Roman"/>
          <w:sz w:val="24"/>
        </w:rPr>
        <w:t xml:space="preserve"> </w:t>
      </w:r>
      <w:r>
        <w:rPr>
          <w:rFonts w:ascii="Times New Roman" w:hAnsi="Times New Roman"/>
          <w:b/>
          <w:sz w:val="24"/>
        </w:rPr>
        <w:t xml:space="preserve">MOTION IN LIMINE TO EXCLUDE TESTIMONY OF DEFENDANTS PROPOSED </w:t>
      </w:r>
      <w:r w:rsidR="00094551">
        <w:rPr>
          <w:rFonts w:ascii="Times New Roman" w:hAnsi="Times New Roman"/>
          <w:b/>
          <w:sz w:val="24"/>
        </w:rPr>
        <w:t>EXPERT DR. HOWARD L. CASTON, Ph.D.</w:t>
      </w:r>
    </w:p>
    <w:p w:rsidR="0070635C" w:rsidRDefault="0070635C">
      <w:pPr>
        <w:spacing w:line="480" w:lineRule="auto"/>
        <w:jc w:val="both"/>
        <w:rPr>
          <w:rFonts w:ascii="Times New Roman" w:hAnsi="Times New Roman"/>
          <w:sz w:val="24"/>
        </w:rPr>
      </w:pPr>
    </w:p>
    <w:p w:rsidR="0070635C" w:rsidRDefault="0070635C">
      <w:pPr>
        <w:spacing w:line="480" w:lineRule="auto"/>
        <w:ind w:firstLine="720"/>
        <w:jc w:val="both"/>
        <w:rPr>
          <w:rFonts w:ascii="Times New Roman" w:hAnsi="Times New Roman"/>
          <w:sz w:val="24"/>
        </w:rPr>
      </w:pPr>
      <w:r>
        <w:rPr>
          <w:rFonts w:ascii="Times New Roman" w:hAnsi="Times New Roman"/>
          <w:sz w:val="24"/>
        </w:rPr>
        <w:t xml:space="preserve">Plaintiff, </w:t>
      </w:r>
      <w:r w:rsidR="00094551">
        <w:rPr>
          <w:rFonts w:ascii="Times New Roman" w:hAnsi="Times New Roman"/>
          <w:sz w:val="24"/>
        </w:rPr>
        <w:t>Brandon Boyd,</w:t>
      </w:r>
      <w:r>
        <w:rPr>
          <w:rFonts w:ascii="Times New Roman" w:hAnsi="Times New Roman"/>
          <w:sz w:val="24"/>
        </w:rPr>
        <w:t xml:space="preserve"> by counsel, moves this Court to exclude unsupported factual conclusions </w:t>
      </w:r>
      <w:r w:rsidR="00094551">
        <w:rPr>
          <w:rFonts w:ascii="Times New Roman" w:hAnsi="Times New Roman"/>
          <w:sz w:val="24"/>
        </w:rPr>
        <w:t xml:space="preserve">of </w:t>
      </w:r>
      <w:proofErr w:type="spellStart"/>
      <w:r w:rsidR="001B036C">
        <w:rPr>
          <w:rFonts w:ascii="Times New Roman" w:hAnsi="Times New Roman"/>
          <w:sz w:val="24"/>
        </w:rPr>
        <w:t>Defednant’</w:t>
      </w:r>
      <w:r w:rsidR="00094551">
        <w:rPr>
          <w:rFonts w:ascii="Times New Roman" w:hAnsi="Times New Roman"/>
          <w:sz w:val="24"/>
        </w:rPr>
        <w:t>s</w:t>
      </w:r>
      <w:proofErr w:type="spellEnd"/>
      <w:r w:rsidR="00094551">
        <w:rPr>
          <w:rFonts w:ascii="Times New Roman" w:hAnsi="Times New Roman"/>
          <w:sz w:val="24"/>
        </w:rPr>
        <w:t xml:space="preserve"> proposed expert Dr. Howard L. </w:t>
      </w:r>
      <w:proofErr w:type="spellStart"/>
      <w:r w:rsidR="00094551">
        <w:rPr>
          <w:rFonts w:ascii="Times New Roman" w:hAnsi="Times New Roman"/>
          <w:sz w:val="24"/>
        </w:rPr>
        <w:t>Caston</w:t>
      </w:r>
      <w:proofErr w:type="spellEnd"/>
      <w:r w:rsidR="00094551">
        <w:rPr>
          <w:rFonts w:ascii="Times New Roman" w:hAnsi="Times New Roman"/>
          <w:sz w:val="24"/>
        </w:rPr>
        <w:t>, Ph.D</w:t>
      </w:r>
      <w:r>
        <w:rPr>
          <w:rFonts w:ascii="Times New Roman" w:hAnsi="Times New Roman"/>
          <w:sz w:val="24"/>
        </w:rPr>
        <w:t xml:space="preserve">. </w:t>
      </w:r>
    </w:p>
    <w:p w:rsidR="0070635C" w:rsidRDefault="0070635C">
      <w:pPr>
        <w:spacing w:line="480" w:lineRule="auto"/>
        <w:jc w:val="center"/>
        <w:rPr>
          <w:rFonts w:ascii="Times New Roman" w:hAnsi="Times New Roman"/>
          <w:b/>
          <w:sz w:val="24"/>
        </w:rPr>
      </w:pPr>
      <w:r>
        <w:rPr>
          <w:rFonts w:ascii="Times New Roman" w:hAnsi="Times New Roman"/>
          <w:b/>
          <w:sz w:val="24"/>
        </w:rPr>
        <w:t>INTRODUCTION</w:t>
      </w:r>
    </w:p>
    <w:p w:rsidR="0070635C" w:rsidRDefault="0070635C">
      <w:pPr>
        <w:spacing w:line="480" w:lineRule="auto"/>
        <w:jc w:val="both"/>
        <w:rPr>
          <w:rFonts w:ascii="Times New Roman" w:hAnsi="Times New Roman"/>
          <w:sz w:val="24"/>
        </w:rPr>
      </w:pPr>
      <w:r>
        <w:rPr>
          <w:rFonts w:ascii="Times New Roman" w:hAnsi="Times New Roman"/>
          <w:sz w:val="24"/>
        </w:rPr>
        <w:tab/>
        <w:t xml:space="preserve">This is </w:t>
      </w:r>
      <w:r w:rsidR="00094551">
        <w:rPr>
          <w:rFonts w:ascii="Times New Roman" w:hAnsi="Times New Roman"/>
          <w:sz w:val="24"/>
        </w:rPr>
        <w:t>an injury case</w:t>
      </w:r>
      <w:r>
        <w:rPr>
          <w:rFonts w:ascii="Times New Roman" w:hAnsi="Times New Roman"/>
          <w:sz w:val="24"/>
        </w:rPr>
        <w:t xml:space="preserve"> in which </w:t>
      </w:r>
      <w:r w:rsidR="00094551">
        <w:rPr>
          <w:rFonts w:ascii="Times New Roman" w:hAnsi="Times New Roman"/>
          <w:sz w:val="24"/>
        </w:rPr>
        <w:t>Plaintiff claims that Defendants</w:t>
      </w:r>
      <w:r w:rsidR="001B036C">
        <w:rPr>
          <w:rFonts w:ascii="Times New Roman" w:hAnsi="Times New Roman"/>
          <w:sz w:val="24"/>
        </w:rPr>
        <w:t xml:space="preserve"> and Third-Party Plaintiffs,</w:t>
      </w:r>
      <w:r w:rsidR="00094551">
        <w:rPr>
          <w:rFonts w:ascii="Times New Roman" w:hAnsi="Times New Roman"/>
          <w:sz w:val="24"/>
        </w:rPr>
        <w:t xml:space="preserve"> Russel Apartments</w:t>
      </w:r>
      <w:r>
        <w:rPr>
          <w:rFonts w:ascii="Times New Roman" w:hAnsi="Times New Roman"/>
          <w:sz w:val="24"/>
        </w:rPr>
        <w:t xml:space="preserve">, negligently </w:t>
      </w:r>
      <w:r w:rsidR="00094551">
        <w:rPr>
          <w:rFonts w:ascii="Times New Roman" w:hAnsi="Times New Roman"/>
          <w:sz w:val="24"/>
        </w:rPr>
        <w:t>failed to maintai</w:t>
      </w:r>
      <w:r w:rsidR="001B036C">
        <w:rPr>
          <w:rFonts w:ascii="Times New Roman" w:hAnsi="Times New Roman"/>
          <w:sz w:val="24"/>
        </w:rPr>
        <w:t>n the apartment, specifically the balcony,</w:t>
      </w:r>
      <w:r w:rsidR="00094551">
        <w:rPr>
          <w:rFonts w:ascii="Times New Roman" w:hAnsi="Times New Roman"/>
          <w:sz w:val="24"/>
        </w:rPr>
        <w:t xml:space="preserve"> leased to Third</w:t>
      </w:r>
      <w:r w:rsidR="001B036C">
        <w:rPr>
          <w:rFonts w:ascii="Times New Roman" w:hAnsi="Times New Roman"/>
          <w:sz w:val="24"/>
        </w:rPr>
        <w:t>-</w:t>
      </w:r>
      <w:r w:rsidR="00094551">
        <w:rPr>
          <w:rFonts w:ascii="Times New Roman" w:hAnsi="Times New Roman"/>
          <w:sz w:val="24"/>
        </w:rPr>
        <w:t>Party Defendant, Leonard Curry, of whom Plaintiff, Brandon Boyd, was an invited guest at the time of this incident. Due to the failures and negligence of Defendants and Third</w:t>
      </w:r>
      <w:r w:rsidR="001B036C">
        <w:rPr>
          <w:rFonts w:ascii="Times New Roman" w:hAnsi="Times New Roman"/>
          <w:sz w:val="24"/>
        </w:rPr>
        <w:t>-</w:t>
      </w:r>
      <w:r w:rsidR="00094551">
        <w:rPr>
          <w:rFonts w:ascii="Times New Roman" w:hAnsi="Times New Roman"/>
          <w:sz w:val="24"/>
        </w:rPr>
        <w:t>Party Plaintiffs, Russel Apartments, Plaintiff Brandon Boyd suffered serious injuries when the balcony railing gave way causing him to fall</w:t>
      </w:r>
      <w:r w:rsidR="001B036C">
        <w:rPr>
          <w:rFonts w:ascii="Times New Roman" w:hAnsi="Times New Roman"/>
          <w:sz w:val="24"/>
        </w:rPr>
        <w:t xml:space="preserve"> to the ground from the second story apartment</w:t>
      </w:r>
      <w:r w:rsidR="00094551">
        <w:rPr>
          <w:rFonts w:ascii="Times New Roman" w:hAnsi="Times New Roman"/>
          <w:sz w:val="24"/>
        </w:rPr>
        <w:t>.  Mr. Boyd</w:t>
      </w:r>
      <w:r>
        <w:rPr>
          <w:rFonts w:ascii="Times New Roman" w:hAnsi="Times New Roman"/>
          <w:sz w:val="24"/>
        </w:rPr>
        <w:t xml:space="preserve"> suffered serious injuries that have included: medical expenses </w:t>
      </w:r>
      <w:r w:rsidR="001B036C">
        <w:rPr>
          <w:rFonts w:ascii="Times New Roman" w:hAnsi="Times New Roman"/>
          <w:sz w:val="24"/>
        </w:rPr>
        <w:t xml:space="preserve">of at least, or </w:t>
      </w:r>
      <w:r>
        <w:rPr>
          <w:rFonts w:ascii="Times New Roman" w:hAnsi="Times New Roman"/>
          <w:sz w:val="24"/>
        </w:rPr>
        <w:t>over $</w:t>
      </w:r>
      <w:r w:rsidR="001B036C">
        <w:rPr>
          <w:rFonts w:ascii="Times New Roman" w:hAnsi="Times New Roman"/>
          <w:sz w:val="24"/>
        </w:rPr>
        <w:t>191,171.38; permanent impairment; scaring and permanent disfigurement; a loss of power to labor and earn money;</w:t>
      </w:r>
      <w:r>
        <w:rPr>
          <w:rFonts w:ascii="Times New Roman" w:hAnsi="Times New Roman"/>
          <w:sz w:val="24"/>
        </w:rPr>
        <w:t xml:space="preserve"> s</w:t>
      </w:r>
      <w:r w:rsidR="001B036C">
        <w:rPr>
          <w:rFonts w:ascii="Times New Roman" w:hAnsi="Times New Roman"/>
          <w:sz w:val="24"/>
        </w:rPr>
        <w:t>ubstantial pain and suffering, as well as future medical expenses.</w:t>
      </w:r>
    </w:p>
    <w:p w:rsidR="0070635C" w:rsidRDefault="0070635C">
      <w:pPr>
        <w:jc w:val="center"/>
        <w:rPr>
          <w:rFonts w:ascii="Times New Roman" w:hAnsi="Times New Roman"/>
          <w:b/>
          <w:sz w:val="24"/>
        </w:rPr>
      </w:pPr>
      <w:r>
        <w:rPr>
          <w:rFonts w:ascii="Times New Roman" w:hAnsi="Times New Roman"/>
          <w:b/>
          <w:sz w:val="24"/>
        </w:rPr>
        <w:lastRenderedPageBreak/>
        <w:t>FACTS</w:t>
      </w:r>
    </w:p>
    <w:p w:rsidR="0070635C" w:rsidRDefault="0070635C">
      <w:pPr>
        <w:jc w:val="both"/>
        <w:rPr>
          <w:rFonts w:ascii="Times New Roman" w:hAnsi="Times New Roman"/>
          <w:sz w:val="24"/>
        </w:rPr>
      </w:pPr>
    </w:p>
    <w:p w:rsidR="0070635C" w:rsidRDefault="0070635C" w:rsidP="001B036C">
      <w:pPr>
        <w:spacing w:line="480" w:lineRule="auto"/>
        <w:jc w:val="both"/>
        <w:rPr>
          <w:rFonts w:ascii="Times New Roman" w:hAnsi="Times New Roman"/>
          <w:sz w:val="24"/>
        </w:rPr>
      </w:pPr>
      <w:r>
        <w:rPr>
          <w:rFonts w:ascii="Times New Roman" w:hAnsi="Times New Roman"/>
          <w:sz w:val="24"/>
        </w:rPr>
        <w:tab/>
        <w:t xml:space="preserve">On </w:t>
      </w:r>
      <w:r w:rsidR="001B036C">
        <w:rPr>
          <w:rFonts w:ascii="Times New Roman" w:hAnsi="Times New Roman"/>
          <w:sz w:val="24"/>
        </w:rPr>
        <w:t>May 20, 2014, Brandon Boyd was invited guest visiting his friend, Leonard Curry who was the tenant of unit: 103 East Saint Catherine Street, Apartment 4, Louisville, KY 40203, leased by Defendants and Third-Party Plaintiffs, Russel Apartments.</w:t>
      </w:r>
      <w:r w:rsidR="00C20EEF">
        <w:rPr>
          <w:rFonts w:ascii="Times New Roman" w:hAnsi="Times New Roman"/>
          <w:sz w:val="24"/>
        </w:rPr>
        <w:t xml:space="preserve"> The unit leased to Mr. Curry is a second-story apartment home with a balcony. Defendants and Third-Party Plaintiffs, Russel Apartments, only after the injury to Plaintiff, Brandon Boyd, have stated the balcony is not to be used and is simply there for decoration. Defendants </w:t>
      </w:r>
      <w:r w:rsidR="00B677C1">
        <w:rPr>
          <w:rFonts w:ascii="Times New Roman" w:hAnsi="Times New Roman"/>
          <w:sz w:val="24"/>
        </w:rPr>
        <w:t>then brought a Third-Party Complaint against their former tenant, Leonard Curry, to further avoid their responsibilities and duties prescribed under the law. Only after the injury occurred Defendants, Russel Apartments, made the first indication to their tenant, Leonard Curry, that he was not to use the balcony of hi</w:t>
      </w:r>
      <w:r w:rsidR="00EF29EE">
        <w:rPr>
          <w:rFonts w:ascii="Times New Roman" w:hAnsi="Times New Roman"/>
          <w:sz w:val="24"/>
        </w:rPr>
        <w:t xml:space="preserve">s apartment. Unfortunately, </w:t>
      </w:r>
      <w:r w:rsidR="00B87249">
        <w:rPr>
          <w:rFonts w:ascii="Times New Roman" w:hAnsi="Times New Roman"/>
          <w:sz w:val="24"/>
        </w:rPr>
        <w:t xml:space="preserve">this late action on Defendants part could not prevent the serious injuries Brandon Boyd suffered and Defendants late action was an improper way of creating a rule or regulation after the signing of the lease that does not conform with </w:t>
      </w:r>
      <w:r w:rsidR="00B87249" w:rsidRPr="00B87249">
        <w:rPr>
          <w:rFonts w:ascii="Times New Roman" w:hAnsi="Times New Roman"/>
          <w:sz w:val="24"/>
          <w:highlight w:val="yellow"/>
        </w:rPr>
        <w:t>KRS #####.</w:t>
      </w:r>
      <w:r w:rsidR="00B87249">
        <w:rPr>
          <w:rFonts w:ascii="Times New Roman" w:hAnsi="Times New Roman"/>
          <w:sz w:val="24"/>
        </w:rPr>
        <w:t xml:space="preserve"> </w:t>
      </w:r>
    </w:p>
    <w:p w:rsidR="00B677C1" w:rsidRDefault="00EF29EE" w:rsidP="001B036C">
      <w:pPr>
        <w:spacing w:line="480" w:lineRule="auto"/>
        <w:jc w:val="both"/>
        <w:rPr>
          <w:rFonts w:ascii="Times New Roman" w:hAnsi="Times New Roman"/>
          <w:sz w:val="24"/>
        </w:rPr>
      </w:pPr>
      <w:r>
        <w:rPr>
          <w:rFonts w:ascii="Times New Roman" w:hAnsi="Times New Roman"/>
          <w:sz w:val="24"/>
        </w:rPr>
        <w:tab/>
        <w:t xml:space="preserve">Defendants and Third-Party Plaintiffs, Russel Apartments, throughout this suit have argued that they have no duty to maintain the balcony in question because it was only a decorative feature, in their opinion, and never was intended to be used by their tenants. Plaintiff, Brandon Boyd, contends that </w:t>
      </w:r>
      <w:r w:rsidRPr="00EF29EE">
        <w:rPr>
          <w:rFonts w:ascii="Times New Roman" w:hAnsi="Times New Roman"/>
          <w:sz w:val="24"/>
          <w:highlight w:val="yellow"/>
        </w:rPr>
        <w:t>Kentucky law</w:t>
      </w:r>
      <w:r>
        <w:rPr>
          <w:rFonts w:ascii="Times New Roman" w:hAnsi="Times New Roman"/>
          <w:sz w:val="24"/>
        </w:rPr>
        <w:t xml:space="preserve"> requires landlords to maintain the entire leased premises, including decorative features. The condition of the balcony on the day of the injury to Plaintiff, Brandon Boyd, was a state of disrepair and deterioration. Photographs showing the rotten, deteriorating wood are annexed herewith as Exhibit </w:t>
      </w:r>
      <w:r w:rsidRPr="00B87249">
        <w:rPr>
          <w:rFonts w:ascii="Times New Roman" w:hAnsi="Times New Roman"/>
          <w:sz w:val="24"/>
          <w:highlight w:val="yellow"/>
        </w:rPr>
        <w:t>#.</w:t>
      </w:r>
      <w:r>
        <w:rPr>
          <w:rFonts w:ascii="Times New Roman" w:hAnsi="Times New Roman"/>
          <w:sz w:val="24"/>
        </w:rPr>
        <w:t xml:space="preserve"> </w:t>
      </w:r>
    </w:p>
    <w:p w:rsidR="00EF29EE" w:rsidRDefault="00EF29EE" w:rsidP="001B036C">
      <w:pPr>
        <w:spacing w:line="480" w:lineRule="auto"/>
        <w:jc w:val="both"/>
        <w:rPr>
          <w:rFonts w:ascii="Times New Roman" w:hAnsi="Times New Roman"/>
          <w:sz w:val="24"/>
        </w:rPr>
      </w:pPr>
      <w:r>
        <w:rPr>
          <w:rFonts w:ascii="Times New Roman" w:hAnsi="Times New Roman"/>
          <w:sz w:val="24"/>
        </w:rPr>
        <w:tab/>
        <w:t xml:space="preserve">Plaintiff, Brandon Boyd, </w:t>
      </w:r>
      <w:r w:rsidRPr="00B87249">
        <w:rPr>
          <w:rFonts w:ascii="Times New Roman" w:hAnsi="Times New Roman"/>
          <w:sz w:val="24"/>
        </w:rPr>
        <w:t>has testified</w:t>
      </w:r>
      <w:r>
        <w:rPr>
          <w:rFonts w:ascii="Times New Roman" w:hAnsi="Times New Roman"/>
          <w:sz w:val="24"/>
        </w:rPr>
        <w:t xml:space="preserve"> that when visiting his friend, Leonard Curry, in his apartment leased by Defendants, Russel Apartments, he regularly </w:t>
      </w:r>
      <w:r w:rsidR="00B87249">
        <w:rPr>
          <w:rFonts w:ascii="Times New Roman" w:hAnsi="Times New Roman"/>
          <w:sz w:val="24"/>
        </w:rPr>
        <w:t>and routinely accessed the balcony affixed to the apartment by climbing out a bedroom window. (</w:t>
      </w:r>
      <w:r w:rsidR="00B87249" w:rsidRPr="00B87249">
        <w:rPr>
          <w:rFonts w:ascii="Times New Roman" w:hAnsi="Times New Roman"/>
          <w:sz w:val="24"/>
          <w:highlight w:val="yellow"/>
        </w:rPr>
        <w:t>CITE depo transcript.)</w:t>
      </w:r>
      <w:r w:rsidR="00B87249">
        <w:rPr>
          <w:rFonts w:ascii="Times New Roman" w:hAnsi="Times New Roman"/>
          <w:sz w:val="24"/>
        </w:rPr>
        <w:t xml:space="preserve"> </w:t>
      </w:r>
      <w:r w:rsidR="00B87249">
        <w:rPr>
          <w:rFonts w:ascii="Times New Roman" w:hAnsi="Times New Roman"/>
          <w:sz w:val="24"/>
        </w:rPr>
        <w:lastRenderedPageBreak/>
        <w:t>Further, Plaintiff testified that Mr. Curry kept milk crates and various items on the balcony for the purpose of sitting on them during the many times the balcony was used. These items would have been visible from the ground to any passerby, including the Defendants who testified they performed visual inspections of the premises “a******** (</w:t>
      </w:r>
      <w:r w:rsidR="00B87249" w:rsidRPr="00B87249">
        <w:rPr>
          <w:rFonts w:ascii="Times New Roman" w:hAnsi="Times New Roman"/>
          <w:sz w:val="24"/>
          <w:highlight w:val="yellow"/>
        </w:rPr>
        <w:t>CITE Bridgette Johnson Depo</w:t>
      </w:r>
      <w:r w:rsidR="00B87249">
        <w:rPr>
          <w:rFonts w:ascii="Times New Roman" w:hAnsi="Times New Roman"/>
          <w:sz w:val="24"/>
        </w:rPr>
        <w:t>)</w:t>
      </w:r>
    </w:p>
    <w:p w:rsidR="00B87249" w:rsidRDefault="00B87249" w:rsidP="001B036C">
      <w:pPr>
        <w:spacing w:line="480" w:lineRule="auto"/>
        <w:jc w:val="both"/>
        <w:rPr>
          <w:rFonts w:ascii="Times New Roman" w:hAnsi="Times New Roman"/>
          <w:sz w:val="24"/>
        </w:rPr>
      </w:pPr>
      <w:r>
        <w:rPr>
          <w:rFonts w:ascii="Times New Roman" w:hAnsi="Times New Roman"/>
          <w:sz w:val="24"/>
        </w:rPr>
        <w:tab/>
        <w:t xml:space="preserve">Furthermore, </w:t>
      </w:r>
      <w:r w:rsidRPr="00B87249">
        <w:rPr>
          <w:rFonts w:ascii="Times New Roman" w:hAnsi="Times New Roman"/>
          <w:sz w:val="24"/>
          <w:highlight w:val="yellow"/>
        </w:rPr>
        <w:t>Kentucky law</w:t>
      </w:r>
      <w:r>
        <w:rPr>
          <w:rFonts w:ascii="Times New Roman" w:hAnsi="Times New Roman"/>
          <w:sz w:val="24"/>
        </w:rPr>
        <w:t xml:space="preserve"> requires that a bedroom have 2 means of egress. Without the balcony access, the apartment leased by Defendants and Third-Party Plaintiffs, Russel Apartments, to Third-Party Defendant, Leonard Curry, is not a legal or sufficient dwelling. </w:t>
      </w:r>
    </w:p>
    <w:p w:rsidR="0070635C" w:rsidRDefault="0070635C">
      <w:pPr>
        <w:spacing w:line="480" w:lineRule="auto"/>
        <w:jc w:val="both"/>
        <w:rPr>
          <w:rFonts w:ascii="Times New Roman" w:hAnsi="Times New Roman"/>
          <w:sz w:val="24"/>
        </w:rPr>
      </w:pPr>
      <w:r>
        <w:rPr>
          <w:rFonts w:ascii="Times New Roman" w:hAnsi="Times New Roman"/>
          <w:sz w:val="24"/>
        </w:rPr>
        <w:tab/>
      </w:r>
      <w:bookmarkStart w:id="0" w:name="_GoBack"/>
      <w:bookmarkEnd w:id="0"/>
    </w:p>
    <w:p w:rsidR="0070635C" w:rsidRDefault="0070635C">
      <w:pPr>
        <w:spacing w:line="480" w:lineRule="auto"/>
        <w:ind w:left="3600" w:firstLine="720"/>
        <w:jc w:val="both"/>
        <w:rPr>
          <w:rFonts w:ascii="Times New Roman" w:hAnsi="Times New Roman"/>
          <w:b/>
          <w:sz w:val="24"/>
        </w:rPr>
      </w:pPr>
      <w:r>
        <w:rPr>
          <w:rFonts w:ascii="Times New Roman" w:hAnsi="Times New Roman"/>
          <w:b/>
          <w:sz w:val="24"/>
        </w:rPr>
        <w:t>STANDARD</w:t>
      </w:r>
    </w:p>
    <w:p w:rsidR="0070635C" w:rsidRDefault="0070635C">
      <w:pPr>
        <w:spacing w:line="480" w:lineRule="auto"/>
        <w:ind w:firstLine="720"/>
        <w:jc w:val="both"/>
        <w:rPr>
          <w:rFonts w:ascii="Times New Roman" w:hAnsi="Times New Roman"/>
          <w:sz w:val="24"/>
        </w:rPr>
      </w:pPr>
      <w:r>
        <w:rPr>
          <w:rFonts w:ascii="Times New Roman" w:hAnsi="Times New Roman"/>
          <w:sz w:val="24"/>
        </w:rPr>
        <w:t xml:space="preserve">KRE 702 Testimony by experts allows an expert to testify if: (1) The testimony is based upon sufficient facts or data; (2) The testimony is the product of reliable principles and methods; and (3) The witness has applied the principles and methods reliably to the facts of the case.  Expert testimony is not admissible unless the expert is qualified and the opinion is scientifically valid and methodologically sound.  </w:t>
      </w:r>
      <w:proofErr w:type="spellStart"/>
      <w:r>
        <w:rPr>
          <w:rFonts w:ascii="Times New Roman" w:hAnsi="Times New Roman"/>
          <w:sz w:val="24"/>
          <w:u w:val="single"/>
        </w:rPr>
        <w:t>Daubert</w:t>
      </w:r>
      <w:proofErr w:type="spellEnd"/>
      <w:r>
        <w:rPr>
          <w:rFonts w:ascii="Times New Roman" w:hAnsi="Times New Roman"/>
          <w:sz w:val="24"/>
          <w:u w:val="single"/>
        </w:rPr>
        <w:t xml:space="preserve"> v. Merrell Dow. </w:t>
      </w:r>
      <w:proofErr w:type="spellStart"/>
      <w:r>
        <w:rPr>
          <w:rFonts w:ascii="Times New Roman" w:hAnsi="Times New Roman"/>
          <w:sz w:val="24"/>
          <w:u w:val="single"/>
        </w:rPr>
        <w:t>Pahrs</w:t>
      </w:r>
      <w:proofErr w:type="spellEnd"/>
      <w:r>
        <w:rPr>
          <w:rFonts w:ascii="Times New Roman" w:hAnsi="Times New Roman"/>
          <w:sz w:val="24"/>
          <w:u w:val="single"/>
        </w:rPr>
        <w:t>., Inc.</w:t>
      </w:r>
      <w:r>
        <w:rPr>
          <w:rFonts w:ascii="Times New Roman" w:hAnsi="Times New Roman"/>
          <w:sz w:val="24"/>
        </w:rPr>
        <w:t xml:space="preserve">, 509 </w:t>
      </w:r>
      <w:smartTag w:uri="urn:schemas-microsoft-com:office:smarttags" w:element="place">
        <w:smartTag w:uri="urn:schemas-microsoft-com:office:smarttags" w:element="country-region">
          <w:r>
            <w:rPr>
              <w:rFonts w:ascii="Times New Roman" w:hAnsi="Times New Roman"/>
              <w:sz w:val="24"/>
            </w:rPr>
            <w:t>U.S.</w:t>
          </w:r>
        </w:smartTag>
      </w:smartTag>
      <w:r>
        <w:rPr>
          <w:rFonts w:ascii="Times New Roman" w:hAnsi="Times New Roman"/>
          <w:sz w:val="24"/>
        </w:rPr>
        <w:t xml:space="preserve"> 579, 592-593 (1993).  Under </w:t>
      </w:r>
      <w:proofErr w:type="spellStart"/>
      <w:r>
        <w:rPr>
          <w:rFonts w:ascii="Times New Roman" w:hAnsi="Times New Roman"/>
          <w:sz w:val="24"/>
          <w:u w:val="single"/>
        </w:rPr>
        <w:t>Daubert</w:t>
      </w:r>
      <w:proofErr w:type="spellEnd"/>
      <w:r>
        <w:rPr>
          <w:rFonts w:ascii="Times New Roman" w:hAnsi="Times New Roman"/>
          <w:i/>
          <w:sz w:val="24"/>
          <w:u w:val="single"/>
        </w:rPr>
        <w:t>,</w:t>
      </w:r>
      <w:r>
        <w:rPr>
          <w:rFonts w:ascii="Times New Roman" w:hAnsi="Times New Roman"/>
          <w:sz w:val="24"/>
        </w:rPr>
        <w:t xml:space="preserve"> the trial court has a gatekeeper function which requires an assessment of the admissibility of expert testimony. Specifically, the court is to determine “whether the expert's testimony reflects ‘scientific knowledge,’ whether their findings are ‘derived by the scientific method,’ and whether their work product amounts to ‘good science.’” 43 F.3d 1311, 1315 (9th Cir.1995) (on remand), </w:t>
      </w:r>
      <w:r>
        <w:rPr>
          <w:rFonts w:ascii="Times New Roman" w:hAnsi="Times New Roman"/>
          <w:i/>
          <w:sz w:val="24"/>
        </w:rPr>
        <w:t xml:space="preserve">quoting, </w:t>
      </w:r>
      <w:proofErr w:type="spellStart"/>
      <w:r>
        <w:rPr>
          <w:rFonts w:ascii="Times New Roman" w:hAnsi="Times New Roman"/>
          <w:sz w:val="24"/>
          <w:u w:val="single"/>
        </w:rPr>
        <w:t>Daubert</w:t>
      </w:r>
      <w:proofErr w:type="spellEnd"/>
      <w:r>
        <w:rPr>
          <w:rFonts w:ascii="Times New Roman" w:hAnsi="Times New Roman"/>
          <w:sz w:val="24"/>
          <w:u w:val="single"/>
        </w:rPr>
        <w:t xml:space="preserve"> v. Merrell Dow Pharmaceuticals, Inc.</w:t>
      </w:r>
      <w:r>
        <w:rPr>
          <w:rFonts w:ascii="Times New Roman" w:hAnsi="Times New Roman"/>
          <w:sz w:val="24"/>
        </w:rPr>
        <w:t>,</w:t>
      </w:r>
      <w:r>
        <w:rPr>
          <w:rFonts w:ascii="Times New Roman" w:hAnsi="Times New Roman"/>
          <w:i/>
          <w:sz w:val="24"/>
        </w:rPr>
        <w:t xml:space="preserve"> </w:t>
      </w:r>
      <w:r>
        <w:rPr>
          <w:rFonts w:ascii="Times New Roman" w:hAnsi="Times New Roman"/>
          <w:sz w:val="24"/>
        </w:rPr>
        <w:t xml:space="preserve">509 </w:t>
      </w:r>
      <w:smartTag w:uri="urn:schemas-microsoft-com:office:smarttags" w:element="place">
        <w:smartTag w:uri="urn:schemas-microsoft-com:office:smarttags" w:element="country-region">
          <w:r>
            <w:rPr>
              <w:rFonts w:ascii="Times New Roman" w:hAnsi="Times New Roman"/>
              <w:sz w:val="24"/>
            </w:rPr>
            <w:t>U.S.</w:t>
          </w:r>
        </w:smartTag>
      </w:smartTag>
      <w:r>
        <w:rPr>
          <w:rFonts w:ascii="Times New Roman" w:hAnsi="Times New Roman"/>
          <w:sz w:val="24"/>
        </w:rPr>
        <w:t xml:space="preserve"> 579, 593, 113 </w:t>
      </w:r>
      <w:proofErr w:type="spellStart"/>
      <w:r>
        <w:rPr>
          <w:rFonts w:ascii="Times New Roman" w:hAnsi="Times New Roman"/>
          <w:sz w:val="24"/>
        </w:rPr>
        <w:t>S.Ct</w:t>
      </w:r>
      <w:proofErr w:type="spellEnd"/>
      <w:r>
        <w:rPr>
          <w:rFonts w:ascii="Times New Roman" w:hAnsi="Times New Roman"/>
          <w:sz w:val="24"/>
        </w:rPr>
        <w:t xml:space="preserve">. 2786, 125 L.Ed.2d 469 (1993).  An expert’s subjective belief or unsupported speculation do not satisfy the principles of admissible expert testimony.  </w:t>
      </w:r>
      <w:proofErr w:type="spellStart"/>
      <w:r>
        <w:rPr>
          <w:rFonts w:ascii="Times New Roman" w:hAnsi="Times New Roman"/>
          <w:sz w:val="24"/>
          <w:u w:val="single"/>
        </w:rPr>
        <w:t>Demaree</w:t>
      </w:r>
      <w:proofErr w:type="spellEnd"/>
      <w:r>
        <w:rPr>
          <w:rFonts w:ascii="Times New Roman" w:hAnsi="Times New Roman"/>
          <w:sz w:val="24"/>
          <w:u w:val="single"/>
        </w:rPr>
        <w:t xml:space="preserve"> v. Toyota Motor Corporation</w:t>
      </w:r>
      <w:r>
        <w:rPr>
          <w:rFonts w:ascii="Times New Roman" w:hAnsi="Times New Roman"/>
          <w:sz w:val="24"/>
        </w:rPr>
        <w:t xml:space="preserve">, 37 F.Supp.2d 959, 961 (W.D. Kentucky) </w:t>
      </w:r>
    </w:p>
    <w:p w:rsidR="0070635C" w:rsidRDefault="0070635C">
      <w:pPr>
        <w:spacing w:line="480" w:lineRule="auto"/>
        <w:jc w:val="center"/>
        <w:rPr>
          <w:rFonts w:ascii="Times New Roman" w:hAnsi="Times New Roman"/>
          <w:b/>
          <w:sz w:val="24"/>
        </w:rPr>
      </w:pPr>
      <w:r>
        <w:rPr>
          <w:rFonts w:ascii="Times New Roman" w:hAnsi="Times New Roman"/>
          <w:b/>
          <w:sz w:val="24"/>
        </w:rPr>
        <w:t>ARGUMENT</w:t>
      </w:r>
    </w:p>
    <w:p w:rsidR="0070635C" w:rsidRDefault="0070635C">
      <w:pPr>
        <w:ind w:left="720"/>
        <w:jc w:val="both"/>
        <w:rPr>
          <w:rFonts w:ascii="Times New Roman" w:hAnsi="Times New Roman"/>
          <w:b/>
          <w:sz w:val="24"/>
        </w:rPr>
      </w:pPr>
      <w:r>
        <w:rPr>
          <w:rFonts w:ascii="Times New Roman" w:hAnsi="Times New Roman"/>
          <w:b/>
          <w:sz w:val="24"/>
        </w:rPr>
        <w:lastRenderedPageBreak/>
        <w:t xml:space="preserve">Dr. Sawyer’s opinions about the amount of alcohol consumed by Defendant </w:t>
      </w:r>
      <w:smartTag w:uri="urn:schemas-microsoft-com:office:smarttags" w:element="place">
        <w:smartTag w:uri="urn:schemas-microsoft-com:office:smarttags" w:element="City">
          <w:r>
            <w:rPr>
              <w:rFonts w:ascii="Times New Roman" w:hAnsi="Times New Roman"/>
              <w:b/>
              <w:sz w:val="24"/>
            </w:rPr>
            <w:t>Shrewsbury</w:t>
          </w:r>
        </w:smartTag>
      </w:smartTag>
      <w:r>
        <w:rPr>
          <w:rFonts w:ascii="Times New Roman" w:hAnsi="Times New Roman"/>
          <w:b/>
          <w:sz w:val="24"/>
        </w:rPr>
        <w:t xml:space="preserve"> while at Rene Ryan’s house are unreliable and unsupported speculation.</w:t>
      </w:r>
    </w:p>
    <w:p w:rsidR="0070635C" w:rsidRDefault="0070635C">
      <w:pPr>
        <w:rPr>
          <w:rFonts w:ascii="Times New Roman" w:hAnsi="Times New Roman"/>
          <w:sz w:val="24"/>
        </w:rPr>
      </w:pPr>
    </w:p>
    <w:p w:rsidR="0070635C" w:rsidRDefault="0070635C">
      <w:pPr>
        <w:spacing w:line="480" w:lineRule="auto"/>
        <w:jc w:val="both"/>
        <w:rPr>
          <w:rFonts w:ascii="Times New Roman" w:hAnsi="Times New Roman"/>
          <w:sz w:val="24"/>
        </w:rPr>
      </w:pPr>
      <w:r>
        <w:rPr>
          <w:rFonts w:ascii="Times New Roman" w:hAnsi="Times New Roman"/>
          <w:sz w:val="24"/>
        </w:rPr>
        <w:tab/>
        <w:t xml:space="preserve">Expert testimony that is unreliable must be excluded.  </w:t>
      </w:r>
      <w:proofErr w:type="spellStart"/>
      <w:r>
        <w:rPr>
          <w:rFonts w:ascii="Times New Roman" w:hAnsi="Times New Roman"/>
          <w:sz w:val="24"/>
          <w:u w:val="single"/>
        </w:rPr>
        <w:t>Daubert</w:t>
      </w:r>
      <w:proofErr w:type="spellEnd"/>
      <w:r>
        <w:rPr>
          <w:rFonts w:ascii="Times New Roman" w:hAnsi="Times New Roman"/>
          <w:sz w:val="24"/>
        </w:rPr>
        <w:t xml:space="preserve">, 509 </w:t>
      </w:r>
      <w:smartTag w:uri="urn:schemas-microsoft-com:office:smarttags" w:element="place">
        <w:smartTag w:uri="urn:schemas-microsoft-com:office:smarttags" w:element="country-region">
          <w:r>
            <w:rPr>
              <w:rFonts w:ascii="Times New Roman" w:hAnsi="Times New Roman"/>
              <w:sz w:val="24"/>
            </w:rPr>
            <w:t>U.S.</w:t>
          </w:r>
        </w:smartTag>
      </w:smartTag>
      <w:r>
        <w:rPr>
          <w:rFonts w:ascii="Times New Roman" w:hAnsi="Times New Roman"/>
          <w:sz w:val="24"/>
        </w:rPr>
        <w:t xml:space="preserve"> at 589.  Pursuant to KRE 104 and KRE 702, the trial court must determine whether Dr. Sawyer’s opinions are reliable, and thus, admissible, as evidence in the case.  The central inquiry into the admissibility of testimony pursuant to FRE 702 (identical to KRE 702) is an “assessment of whether the reasoning or methodology underlying the testimony is scientifically valid and of whether that reasoning or methodology properly can be applied to the facts in issue.” </w:t>
      </w:r>
      <w:r>
        <w:rPr>
          <w:rFonts w:ascii="Times New Roman" w:hAnsi="Times New Roman"/>
          <w:sz w:val="24"/>
          <w:u w:val="single"/>
        </w:rPr>
        <w:t>Goodyear Tire &amp; Rubber Co. v. Thompson</w:t>
      </w:r>
      <w:r>
        <w:rPr>
          <w:rFonts w:ascii="Times New Roman" w:hAnsi="Times New Roman"/>
          <w:sz w:val="24"/>
        </w:rPr>
        <w:t>, 11 S.W.3d 575, 581 (</w:t>
      </w:r>
      <w:smartTag w:uri="urn:schemas-microsoft-com:office:smarttags" w:element="State">
        <w:r>
          <w:rPr>
            <w:rFonts w:ascii="Times New Roman" w:hAnsi="Times New Roman"/>
            <w:sz w:val="24"/>
          </w:rPr>
          <w:t>Ky.</w:t>
        </w:r>
      </w:smartTag>
      <w:r>
        <w:rPr>
          <w:rFonts w:ascii="Times New Roman" w:hAnsi="Times New Roman"/>
          <w:sz w:val="24"/>
        </w:rPr>
        <w:t xml:space="preserve"> 2000) citing </w:t>
      </w:r>
      <w:proofErr w:type="spellStart"/>
      <w:r>
        <w:rPr>
          <w:rFonts w:ascii="Times New Roman" w:hAnsi="Times New Roman"/>
          <w:sz w:val="24"/>
          <w:u w:val="single"/>
        </w:rPr>
        <w:t>Daubert</w:t>
      </w:r>
      <w:proofErr w:type="spellEnd"/>
      <w:r>
        <w:rPr>
          <w:rFonts w:ascii="Times New Roman" w:hAnsi="Times New Roman"/>
          <w:i/>
          <w:sz w:val="24"/>
        </w:rPr>
        <w:t>,</w:t>
      </w:r>
      <w:r>
        <w:rPr>
          <w:rFonts w:ascii="Times New Roman" w:hAnsi="Times New Roman"/>
          <w:sz w:val="24"/>
        </w:rPr>
        <w:t xml:space="preserve"> 509 </w:t>
      </w:r>
      <w:smartTag w:uri="urn:schemas-microsoft-com:office:smarttags" w:element="place">
        <w:smartTag w:uri="urn:schemas-microsoft-com:office:smarttags" w:element="country-region">
          <w:r>
            <w:rPr>
              <w:rFonts w:ascii="Times New Roman" w:hAnsi="Times New Roman"/>
              <w:sz w:val="24"/>
            </w:rPr>
            <w:t>U.S.</w:t>
          </w:r>
        </w:smartTag>
      </w:smartTag>
      <w:r>
        <w:rPr>
          <w:rFonts w:ascii="Times New Roman" w:hAnsi="Times New Roman"/>
          <w:sz w:val="24"/>
        </w:rPr>
        <w:t xml:space="preserve"> at 592, 113 </w:t>
      </w:r>
      <w:proofErr w:type="spellStart"/>
      <w:r>
        <w:rPr>
          <w:rFonts w:ascii="Times New Roman" w:hAnsi="Times New Roman"/>
          <w:sz w:val="24"/>
        </w:rPr>
        <w:t>S.Ct</w:t>
      </w:r>
      <w:proofErr w:type="spellEnd"/>
      <w:r>
        <w:rPr>
          <w:rFonts w:ascii="Times New Roman" w:hAnsi="Times New Roman"/>
          <w:sz w:val="24"/>
        </w:rPr>
        <w:t xml:space="preserve">. at 2796, 125 L.Ed.2d at 482.  </w:t>
      </w:r>
    </w:p>
    <w:p w:rsidR="0070635C" w:rsidRDefault="0070635C">
      <w:pPr>
        <w:spacing w:line="480" w:lineRule="auto"/>
        <w:jc w:val="both"/>
        <w:rPr>
          <w:rFonts w:ascii="Times New Roman" w:hAnsi="Times New Roman"/>
          <w:sz w:val="24"/>
        </w:rPr>
      </w:pPr>
      <w:r>
        <w:rPr>
          <w:rFonts w:ascii="Times New Roman" w:hAnsi="Times New Roman"/>
          <w:sz w:val="24"/>
        </w:rPr>
        <w:tab/>
        <w:t xml:space="preserve">In this case, Dr. Sawyer has submitted an opinion that Defendant Shrewsbury consumed more than one-to-three beers at Rene Ryan’s house when there is no witness testimony to support this conclusion.  Instead, this is pure speculative testimony. Dr. Sawyer attempts to support his conclusion based on witness testimony that Defendant Shrewsbury did not appear intoxicated; however, this directly contradicts Defendant Shrewsbury’s own testimony that she thought she was intoxicated upon leaving </w:t>
      </w:r>
      <w:proofErr w:type="spellStart"/>
      <w:r>
        <w:rPr>
          <w:rFonts w:ascii="Times New Roman" w:hAnsi="Times New Roman"/>
          <w:sz w:val="24"/>
        </w:rPr>
        <w:t>Asiatique</w:t>
      </w:r>
      <w:proofErr w:type="spellEnd"/>
      <w:r>
        <w:rPr>
          <w:rFonts w:ascii="Times New Roman" w:hAnsi="Times New Roman"/>
          <w:sz w:val="24"/>
        </w:rPr>
        <w:t>.  Further, Dr. Sawyer has not performed any scientific test to conclude that Defendant Shrewsbury must have consumed more than one-to-three drinks at Rene Ryan’s house.  In sum, Dr. Sawyer reasoning directly contradicts the facts of this case and is therefore unreliable.</w:t>
      </w:r>
    </w:p>
    <w:p w:rsidR="0070635C" w:rsidRDefault="0070635C">
      <w:pPr>
        <w:spacing w:line="480" w:lineRule="auto"/>
        <w:jc w:val="center"/>
        <w:rPr>
          <w:rFonts w:ascii="Times New Roman" w:hAnsi="Times New Roman"/>
          <w:b/>
          <w:sz w:val="24"/>
        </w:rPr>
      </w:pPr>
      <w:r>
        <w:rPr>
          <w:rFonts w:ascii="Times New Roman" w:hAnsi="Times New Roman"/>
          <w:b/>
          <w:sz w:val="24"/>
        </w:rPr>
        <w:t>CONCLUSION</w:t>
      </w:r>
    </w:p>
    <w:p w:rsidR="0070635C" w:rsidRDefault="0070635C">
      <w:pPr>
        <w:spacing w:line="480" w:lineRule="auto"/>
        <w:ind w:firstLine="720"/>
        <w:jc w:val="both"/>
        <w:rPr>
          <w:rFonts w:ascii="Times New Roman" w:hAnsi="Times New Roman"/>
          <w:sz w:val="24"/>
        </w:rPr>
      </w:pPr>
      <w:r>
        <w:rPr>
          <w:rFonts w:ascii="Times New Roman" w:hAnsi="Times New Roman"/>
          <w:sz w:val="24"/>
        </w:rPr>
        <w:t xml:space="preserve">Plaintiff requests this Court to prohibit Dr. Sawyer from testifying that Rene Ryan must have consumed more than one-to-three drinks while at Rene Ryan’s house because it is unreliable, unsupported by the facts, and unsupported by scientific evidence.  Accordingly, this testimony must be excluded because fails to satisfy KRE 702 and </w:t>
      </w:r>
      <w:proofErr w:type="spellStart"/>
      <w:r>
        <w:rPr>
          <w:rFonts w:ascii="Times New Roman" w:hAnsi="Times New Roman"/>
          <w:sz w:val="24"/>
          <w:u w:val="single"/>
        </w:rPr>
        <w:t>Daubert</w:t>
      </w:r>
      <w:proofErr w:type="spellEnd"/>
      <w:r>
        <w:rPr>
          <w:rFonts w:ascii="Times New Roman" w:hAnsi="Times New Roman"/>
          <w:sz w:val="24"/>
        </w:rPr>
        <w:t>.</w:t>
      </w:r>
    </w:p>
    <w:p w:rsidR="0070635C" w:rsidRDefault="0070635C">
      <w:pPr>
        <w:spacing w:line="480" w:lineRule="auto"/>
        <w:ind w:firstLine="720"/>
        <w:jc w:val="both"/>
        <w:rPr>
          <w:rFonts w:ascii="Times New Roman" w:hAnsi="Times New Roman"/>
          <w:sz w:val="24"/>
        </w:rPr>
      </w:pPr>
    </w:p>
    <w:p w:rsidR="0070635C" w:rsidRDefault="0070635C">
      <w:pPr>
        <w:jc w:val="both"/>
        <w:rPr>
          <w:rFonts w:ascii="Times New Roman" w:hAnsi="Times New Roman"/>
          <w:sz w:val="24"/>
        </w:rPr>
      </w:pPr>
    </w:p>
    <w:p w:rsidR="0070635C" w:rsidRDefault="0070635C">
      <w:pPr>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Respectfully submitted,</w:t>
      </w:r>
    </w:p>
    <w:p w:rsidR="0070635C" w:rsidRDefault="0070635C">
      <w:pPr>
        <w:rPr>
          <w:rFonts w:ascii="Times New Roman" w:hAnsi="Times New Roman"/>
          <w:sz w:val="24"/>
        </w:rPr>
      </w:pPr>
    </w:p>
    <w:p w:rsidR="0070635C" w:rsidRDefault="0070635C">
      <w:pPr>
        <w:rPr>
          <w:rFonts w:ascii="Times New Roman" w:hAnsi="Times New Roman"/>
          <w:sz w:val="24"/>
        </w:rPr>
      </w:pPr>
    </w:p>
    <w:p w:rsidR="0070635C" w:rsidRDefault="0070635C">
      <w:pPr>
        <w:rPr>
          <w:rFonts w:ascii="Times New Roman" w:hAnsi="Times New Roman"/>
          <w:sz w:val="24"/>
        </w:rPr>
      </w:pPr>
    </w:p>
    <w:p w:rsidR="0070635C" w:rsidRDefault="0070635C" w:rsidP="00A60312">
      <w:pPr>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______________________________</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Wilson W Greene</w:t>
      </w:r>
    </w:p>
    <w:p w:rsidR="0070635C" w:rsidRDefault="0070635C">
      <w:pPr>
        <w:ind w:left="4320" w:firstLine="720"/>
        <w:rPr>
          <w:rFonts w:ascii="Times New Roman" w:hAnsi="Times New Roman"/>
          <w:sz w:val="24"/>
        </w:rPr>
      </w:pPr>
      <w:r>
        <w:rPr>
          <w:rFonts w:ascii="Times New Roman" w:hAnsi="Times New Roman"/>
          <w:sz w:val="24"/>
        </w:rPr>
        <w:t>Michael R. Greene</w:t>
      </w:r>
    </w:p>
    <w:p w:rsidR="0070635C" w:rsidRDefault="0070635C">
      <w:pPr>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The Greene Law Firm, PLLC</w:t>
      </w:r>
    </w:p>
    <w:p w:rsidR="0070635C" w:rsidRDefault="0070635C">
      <w:pPr>
        <w:ind w:left="5040"/>
        <w:rPr>
          <w:rFonts w:ascii="Times New Roman" w:hAnsi="Times New Roman"/>
          <w:sz w:val="24"/>
        </w:rPr>
      </w:pPr>
      <w:r>
        <w:rPr>
          <w:rFonts w:ascii="Times New Roman" w:hAnsi="Times New Roman"/>
          <w:sz w:val="24"/>
        </w:rPr>
        <w:t>6004 Brownsboro Park Boulevard, Suite E</w:t>
      </w:r>
    </w:p>
    <w:p w:rsidR="0070635C" w:rsidRDefault="0070635C">
      <w:pPr>
        <w:ind w:left="4320" w:firstLine="720"/>
        <w:rPr>
          <w:rFonts w:ascii="Times New Roman" w:hAnsi="Times New Roman"/>
          <w:sz w:val="24"/>
        </w:rPr>
      </w:pPr>
      <w:r>
        <w:rPr>
          <w:rFonts w:ascii="Times New Roman" w:hAnsi="Times New Roman"/>
          <w:sz w:val="24"/>
        </w:rPr>
        <w:t>Louisville, Kentucky 40207</w:t>
      </w:r>
    </w:p>
    <w:p w:rsidR="0070635C" w:rsidRDefault="0070635C">
      <w:pPr>
        <w:ind w:left="4320" w:firstLine="720"/>
        <w:rPr>
          <w:rFonts w:ascii="Times New Roman" w:hAnsi="Times New Roman"/>
          <w:sz w:val="24"/>
        </w:rPr>
      </w:pPr>
      <w:r>
        <w:rPr>
          <w:rFonts w:ascii="Times New Roman" w:hAnsi="Times New Roman"/>
          <w:sz w:val="24"/>
        </w:rPr>
        <w:t>(502) 897-8998</w:t>
      </w:r>
      <w:r>
        <w:rPr>
          <w:rFonts w:ascii="Times New Roman" w:hAnsi="Times New Roman"/>
          <w:sz w:val="24"/>
        </w:rPr>
        <w:tab/>
      </w:r>
      <w:r>
        <w:rPr>
          <w:rFonts w:ascii="Times New Roman" w:hAnsi="Times New Roman"/>
          <w:sz w:val="24"/>
        </w:rPr>
        <w:tab/>
      </w:r>
      <w:r>
        <w:rPr>
          <w:rFonts w:ascii="Times New Roman" w:hAnsi="Times New Roman"/>
          <w:sz w:val="24"/>
        </w:rPr>
        <w:tab/>
      </w:r>
    </w:p>
    <w:p w:rsidR="0070635C" w:rsidRDefault="0070635C">
      <w:pPr>
        <w:rPr>
          <w:rFonts w:ascii="Times New Roman" w:hAnsi="Times New Roman"/>
          <w:i/>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i/>
          <w:sz w:val="24"/>
        </w:rPr>
        <w:t>Counsel for Plaintiff</w:t>
      </w:r>
    </w:p>
    <w:p w:rsidR="0070635C" w:rsidRDefault="0070635C">
      <w:pPr>
        <w:spacing w:after="200"/>
        <w:ind w:left="4320" w:firstLine="720"/>
        <w:rPr>
          <w:rFonts w:ascii="Times New Roman" w:hAnsi="Times New Roman"/>
          <w:sz w:val="24"/>
        </w:rPr>
      </w:pPr>
      <w:r>
        <w:rPr>
          <w:rFonts w:ascii="Times New Roman" w:hAnsi="Times New Roman"/>
          <w:sz w:val="24"/>
        </w:rPr>
        <w:t xml:space="preserve"> </w:t>
      </w:r>
    </w:p>
    <w:p w:rsidR="0070635C" w:rsidRDefault="0070635C">
      <w:pPr>
        <w:jc w:val="center"/>
        <w:rPr>
          <w:rFonts w:ascii="Times New Roman" w:hAnsi="Times New Roman"/>
          <w:b/>
          <w:sz w:val="24"/>
          <w:u w:val="single"/>
        </w:rPr>
      </w:pPr>
      <w:r>
        <w:rPr>
          <w:rFonts w:ascii="Times New Roman" w:hAnsi="Times New Roman"/>
          <w:b/>
          <w:sz w:val="24"/>
          <w:u w:val="single"/>
        </w:rPr>
        <w:t>CERTIFICATE OF SERVICE</w:t>
      </w:r>
    </w:p>
    <w:p w:rsidR="0070635C" w:rsidRDefault="0070635C">
      <w:pPr>
        <w:jc w:val="center"/>
        <w:rPr>
          <w:rFonts w:ascii="Times New Roman" w:hAnsi="Times New Roman"/>
          <w:b/>
          <w:sz w:val="24"/>
          <w:u w:val="single"/>
        </w:rPr>
      </w:pPr>
    </w:p>
    <w:p w:rsidR="0070635C" w:rsidRDefault="0070635C">
      <w:pPr>
        <w:rPr>
          <w:rFonts w:ascii="Times New Roman" w:hAnsi="Times New Roman"/>
          <w:sz w:val="24"/>
        </w:rPr>
      </w:pPr>
    </w:p>
    <w:p w:rsidR="0070635C" w:rsidRDefault="0070635C">
      <w:pPr>
        <w:spacing w:line="480" w:lineRule="auto"/>
        <w:rPr>
          <w:rFonts w:ascii="Times New Roman" w:hAnsi="Times New Roman"/>
          <w:sz w:val="24"/>
        </w:rPr>
      </w:pPr>
      <w:r>
        <w:rPr>
          <w:rFonts w:ascii="Times New Roman" w:hAnsi="Times New Roman"/>
          <w:sz w:val="24"/>
        </w:rPr>
        <w:tab/>
        <w:t>It is hereby certified that on the ___ day of September, 2014, a copy of the Notice of Appearance was served via U.S. First Class Mail to:</w:t>
      </w:r>
    </w:p>
    <w:p w:rsidR="0070635C" w:rsidRDefault="0070635C">
      <w:pPr>
        <w:ind w:left="-540" w:right="-540"/>
        <w:rPr>
          <w:rFonts w:ascii="Times New Roman" w:hAnsi="Times New Roman"/>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p>
    <w:p w:rsidR="0070635C" w:rsidRDefault="0070635C">
      <w:pPr>
        <w:ind w:left="-540" w:right="-540"/>
        <w:rPr>
          <w:rFonts w:ascii="Times New Roman" w:hAnsi="Times New Roman"/>
        </w:rPr>
      </w:pPr>
      <w:r>
        <w:rPr>
          <w:rFonts w:ascii="Times New Roman" w:hAnsi="Times New Roman"/>
        </w:rPr>
        <w:t xml:space="preserve">Deanna M. </w:t>
      </w:r>
      <w:proofErr w:type="spellStart"/>
      <w:r>
        <w:rPr>
          <w:rFonts w:ascii="Times New Roman" w:hAnsi="Times New Roman"/>
        </w:rPr>
        <w:t>Marzian</w:t>
      </w:r>
      <w:proofErr w:type="spellEnd"/>
      <w:r>
        <w:rPr>
          <w:rFonts w:ascii="Times New Roman" w:hAnsi="Times New Roman"/>
        </w:rPr>
        <w:t xml:space="preserve"> Tucker</w:t>
      </w:r>
    </w:p>
    <w:p w:rsidR="0070635C" w:rsidRDefault="0070635C">
      <w:pPr>
        <w:ind w:left="-540" w:right="-540"/>
        <w:rPr>
          <w:rFonts w:ascii="Times New Roman" w:hAnsi="Times New Roman"/>
        </w:rPr>
      </w:pPr>
      <w:r>
        <w:rPr>
          <w:rFonts w:ascii="Times New Roman" w:hAnsi="Times New Roman"/>
        </w:rPr>
        <w:t xml:space="preserve">Schiller </w:t>
      </w:r>
      <w:proofErr w:type="spellStart"/>
      <w:r>
        <w:rPr>
          <w:rFonts w:ascii="Times New Roman" w:hAnsi="Times New Roman"/>
        </w:rPr>
        <w:t>Osbourn</w:t>
      </w:r>
      <w:proofErr w:type="spellEnd"/>
      <w:r>
        <w:rPr>
          <w:rFonts w:ascii="Times New Roman" w:hAnsi="Times New Roman"/>
        </w:rPr>
        <w:t xml:space="preserve"> Barnes &amp; </w:t>
      </w:r>
    </w:p>
    <w:p w:rsidR="0070635C" w:rsidRDefault="0070635C">
      <w:pPr>
        <w:ind w:left="-540" w:right="-540"/>
        <w:rPr>
          <w:rFonts w:ascii="Times New Roman" w:hAnsi="Times New Roman"/>
        </w:rPr>
      </w:pPr>
      <w:r>
        <w:rPr>
          <w:rFonts w:ascii="Times New Roman" w:hAnsi="Times New Roman"/>
        </w:rPr>
        <w:t>Maloney, PLLC</w:t>
      </w:r>
    </w:p>
    <w:p w:rsidR="0070635C" w:rsidRDefault="0070635C">
      <w:pPr>
        <w:ind w:left="-540" w:right="-540"/>
        <w:rPr>
          <w:rFonts w:ascii="Times New Roman" w:hAnsi="Times New Roman"/>
        </w:rPr>
      </w:pPr>
      <w:r>
        <w:rPr>
          <w:rFonts w:ascii="Times New Roman" w:hAnsi="Times New Roman"/>
        </w:rPr>
        <w:t>1600 One Riverfront Plaza</w:t>
      </w:r>
    </w:p>
    <w:p w:rsidR="0070635C" w:rsidRDefault="0070635C">
      <w:pPr>
        <w:ind w:left="-540" w:right="-540"/>
        <w:rPr>
          <w:rFonts w:ascii="Times New Roman" w:hAnsi="Times New Roman"/>
        </w:rPr>
      </w:pPr>
      <w:r>
        <w:rPr>
          <w:rFonts w:ascii="Times New Roman" w:hAnsi="Times New Roman"/>
        </w:rPr>
        <w:t>401 W. Main Street</w:t>
      </w:r>
    </w:p>
    <w:p w:rsidR="0070635C" w:rsidRDefault="0070635C">
      <w:pPr>
        <w:ind w:left="-540" w:right="-540"/>
        <w:rPr>
          <w:rFonts w:ascii="Times New Roman" w:hAnsi="Times New Roman"/>
        </w:rPr>
      </w:pPr>
      <w:r>
        <w:rPr>
          <w:rFonts w:ascii="Times New Roman" w:hAnsi="Times New Roman"/>
        </w:rPr>
        <w:t>Louisville, KY  40202</w:t>
      </w:r>
    </w:p>
    <w:p w:rsidR="0070635C" w:rsidRDefault="0070635C">
      <w:pPr>
        <w:ind w:left="-540" w:right="-540"/>
        <w:rPr>
          <w:rFonts w:ascii="Times New Roman" w:hAnsi="Times New Roman"/>
        </w:rPr>
      </w:pPr>
    </w:p>
    <w:p w:rsidR="0070635C" w:rsidRDefault="0070635C">
      <w:pPr>
        <w:ind w:left="-540" w:right="-540"/>
        <w:rPr>
          <w:rFonts w:ascii="Times New Roman" w:hAnsi="Times New Roman"/>
        </w:rPr>
      </w:pPr>
      <w:proofErr w:type="spellStart"/>
      <w:r>
        <w:rPr>
          <w:rFonts w:ascii="Times New Roman" w:hAnsi="Times New Roman"/>
        </w:rPr>
        <w:t>Reford</w:t>
      </w:r>
      <w:proofErr w:type="spellEnd"/>
      <w:r>
        <w:rPr>
          <w:rFonts w:ascii="Times New Roman" w:hAnsi="Times New Roman"/>
        </w:rPr>
        <w:t xml:space="preserve"> H. Coleman </w:t>
      </w:r>
    </w:p>
    <w:p w:rsidR="0070635C" w:rsidRDefault="0070635C">
      <w:pPr>
        <w:ind w:left="-540" w:right="-540"/>
        <w:rPr>
          <w:rFonts w:ascii="Times New Roman" w:hAnsi="Times New Roman"/>
        </w:rPr>
      </w:pPr>
      <w:r>
        <w:rPr>
          <w:rFonts w:ascii="Times New Roman" w:hAnsi="Times New Roman"/>
        </w:rPr>
        <w:t xml:space="preserve">Coleman </w:t>
      </w:r>
      <w:proofErr w:type="spellStart"/>
      <w:r>
        <w:rPr>
          <w:rFonts w:ascii="Times New Roman" w:hAnsi="Times New Roman"/>
        </w:rPr>
        <w:t>Lochmiller</w:t>
      </w:r>
      <w:proofErr w:type="spellEnd"/>
      <w:r>
        <w:rPr>
          <w:rFonts w:ascii="Times New Roman" w:hAnsi="Times New Roman"/>
        </w:rPr>
        <w:t xml:space="preserve"> &amp; Bond</w:t>
      </w:r>
    </w:p>
    <w:p w:rsidR="0070635C" w:rsidRDefault="0070635C">
      <w:pPr>
        <w:ind w:left="-540" w:right="-540"/>
        <w:rPr>
          <w:rFonts w:ascii="Times New Roman" w:hAnsi="Times New Roman"/>
        </w:rPr>
      </w:pPr>
      <w:r>
        <w:rPr>
          <w:rFonts w:ascii="Times New Roman" w:hAnsi="Times New Roman"/>
        </w:rPr>
        <w:t>2907 Ring Road</w:t>
      </w:r>
    </w:p>
    <w:p w:rsidR="0070635C" w:rsidRDefault="0070635C">
      <w:pPr>
        <w:ind w:left="-540" w:right="-540"/>
        <w:rPr>
          <w:rFonts w:ascii="Times New Roman" w:hAnsi="Times New Roman"/>
        </w:rPr>
      </w:pPr>
      <w:r>
        <w:rPr>
          <w:rFonts w:ascii="Times New Roman" w:hAnsi="Times New Roman"/>
        </w:rPr>
        <w:t>P.O. Box 1177</w:t>
      </w:r>
    </w:p>
    <w:p w:rsidR="0070635C" w:rsidRDefault="0070635C">
      <w:pPr>
        <w:ind w:left="-540" w:right="-540"/>
        <w:rPr>
          <w:rFonts w:ascii="Times New Roman" w:hAnsi="Times New Roman"/>
          <w:sz w:val="24"/>
        </w:rPr>
      </w:pPr>
      <w:r>
        <w:rPr>
          <w:rFonts w:ascii="Times New Roman" w:hAnsi="Times New Roman"/>
        </w:rPr>
        <w:t>Elizabethtown, KY  42702-1177</w:t>
      </w:r>
    </w:p>
    <w:p w:rsidR="0070635C" w:rsidRDefault="0070635C">
      <w:pPr>
        <w:ind w:left="-540" w:right="-540"/>
        <w:rPr>
          <w:rFonts w:ascii="Times New Roman" w:hAnsi="Times New Roman"/>
        </w:rPr>
      </w:pPr>
      <w:r>
        <w:rPr>
          <w:rFonts w:ascii="Times New Roman" w:hAnsi="Times New Roman"/>
          <w:sz w:val="24"/>
        </w:rPr>
        <w:t xml:space="preserve"> </w:t>
      </w:r>
    </w:p>
    <w:p w:rsidR="0070635C" w:rsidRDefault="0070635C">
      <w:pPr>
        <w:jc w:val="both"/>
        <w:rPr>
          <w:rFonts w:ascii="Times New Roman" w:hAnsi="Times New Roman"/>
          <w:sz w:val="24"/>
        </w:rPr>
      </w:pPr>
    </w:p>
    <w:p w:rsidR="0070635C" w:rsidRDefault="0070635C">
      <w:pPr>
        <w:jc w:val="both"/>
        <w:rPr>
          <w:rFonts w:ascii="Times New Roman" w:hAnsi="Times New Roman"/>
          <w:sz w:val="24"/>
        </w:rPr>
      </w:pPr>
    </w:p>
    <w:p w:rsidR="0070635C" w:rsidRDefault="0070635C">
      <w:pPr>
        <w:jc w:val="both"/>
        <w:rPr>
          <w:rFonts w:ascii="Times New Roman" w:hAnsi="Times New Roman"/>
          <w:sz w:val="24"/>
        </w:rPr>
      </w:pPr>
    </w:p>
    <w:p w:rsidR="0070635C" w:rsidRDefault="0070635C">
      <w:pPr>
        <w:jc w:val="both"/>
        <w:rPr>
          <w:rFonts w:ascii="Times New Roman" w:hAnsi="Times New Roman"/>
          <w:sz w:val="24"/>
        </w:rPr>
      </w:pPr>
    </w:p>
    <w:p w:rsidR="0070635C" w:rsidRDefault="0070635C">
      <w:pPr>
        <w:jc w:val="both"/>
        <w:rPr>
          <w:rFonts w:ascii="Times New Roman" w:hAnsi="Times New Roman"/>
          <w:b/>
          <w:sz w:val="24"/>
          <w:u w:val="single"/>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p>
    <w:p w:rsidR="0070635C" w:rsidRDefault="0070635C">
      <w:pPr>
        <w:rPr>
          <w:rFonts w:ascii="Times New Roman" w:hAnsi="Times New Roman"/>
          <w:sz w:val="24"/>
        </w:rPr>
      </w:pPr>
    </w:p>
    <w:p w:rsidR="0070635C" w:rsidRDefault="0070635C">
      <w:pPr>
        <w:rPr>
          <w:rFonts w:ascii="Times New Roman" w:hAnsi="Times New Roman"/>
          <w:sz w:val="24"/>
        </w:rPr>
      </w:pPr>
    </w:p>
    <w:sectPr w:rsidR="0070635C" w:rsidSect="00B111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4A2"/>
    <w:rsid w:val="00094551"/>
    <w:rsid w:val="000A2B1E"/>
    <w:rsid w:val="001B036C"/>
    <w:rsid w:val="00354EAA"/>
    <w:rsid w:val="004B64A2"/>
    <w:rsid w:val="0070635C"/>
    <w:rsid w:val="008750E5"/>
    <w:rsid w:val="00A60312"/>
    <w:rsid w:val="00B11173"/>
    <w:rsid w:val="00B677C1"/>
    <w:rsid w:val="00B87249"/>
    <w:rsid w:val="00C20EEF"/>
    <w:rsid w:val="00EF2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347E9AEE"/>
  <w15:docId w15:val="{CA86112E-F488-4967-BDB6-A9CA65322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5</Pages>
  <Words>1207</Words>
  <Characters>6884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3</cp:revision>
  <dcterms:created xsi:type="dcterms:W3CDTF">2015-12-28T13:44:00Z</dcterms:created>
  <dcterms:modified xsi:type="dcterms:W3CDTF">2015-12-28T15:37:00Z</dcterms:modified>
</cp:coreProperties>
</file>