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AB8" w:rsidRPr="00B40B6B" w:rsidRDefault="00727AB8" w:rsidP="00727AB8">
      <w:pPr>
        <w:tabs>
          <w:tab w:val="left" w:pos="-1872"/>
          <w:tab w:val="left" w:pos="-1152"/>
          <w:tab w:val="left" w:pos="0"/>
          <w:tab w:val="left" w:pos="720"/>
          <w:tab w:val="left" w:pos="1260"/>
          <w:tab w:val="left" w:pos="4608"/>
        </w:tabs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 w:rsidRPr="00B40B6B">
        <w:rPr>
          <w:rFonts w:ascii="Times New Roman" w:hAnsi="Times New Roman"/>
          <w:b/>
          <w:sz w:val="24"/>
          <w:szCs w:val="24"/>
          <w:u w:val="single"/>
        </w:rPr>
        <w:t>SUMMARY JUDGMENT STANDARD</w:t>
      </w:r>
    </w:p>
    <w:p w:rsidR="00727AB8" w:rsidRPr="00B40B6B" w:rsidRDefault="00727AB8" w:rsidP="00727AB8">
      <w:pPr>
        <w:spacing w:after="0" w:line="48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40B6B">
        <w:rPr>
          <w:rFonts w:ascii="Times New Roman" w:hAnsi="Times New Roman"/>
          <w:sz w:val="24"/>
          <w:szCs w:val="24"/>
        </w:rPr>
        <w:t xml:space="preserve">Summary judgment is appropriate when “‘as a matter of law, it appears that it would be impossible for the respondent to produce evidence at the trial warranting a judgment in his favor and against the movant.’”  </w:t>
      </w:r>
      <w:proofErr w:type="spellStart"/>
      <w:r w:rsidRPr="00B40B6B">
        <w:rPr>
          <w:rFonts w:ascii="Times New Roman" w:hAnsi="Times New Roman"/>
          <w:sz w:val="24"/>
          <w:szCs w:val="24"/>
          <w:u w:val="single"/>
        </w:rPr>
        <w:t>Steelvest</w:t>
      </w:r>
      <w:proofErr w:type="spellEnd"/>
      <w:r w:rsidRPr="00B40B6B">
        <w:rPr>
          <w:rFonts w:ascii="Times New Roman" w:hAnsi="Times New Roman"/>
          <w:sz w:val="24"/>
          <w:szCs w:val="24"/>
          <w:u w:val="single"/>
        </w:rPr>
        <w:t xml:space="preserve">, Inc. v. </w:t>
      </w:r>
      <w:proofErr w:type="spellStart"/>
      <w:r w:rsidRPr="00B40B6B">
        <w:rPr>
          <w:rFonts w:ascii="Times New Roman" w:hAnsi="Times New Roman"/>
          <w:sz w:val="24"/>
          <w:szCs w:val="24"/>
          <w:u w:val="single"/>
        </w:rPr>
        <w:t>Scansteel</w:t>
      </w:r>
      <w:proofErr w:type="spellEnd"/>
      <w:r w:rsidRPr="00B40B6B">
        <w:rPr>
          <w:rFonts w:ascii="Times New Roman" w:hAnsi="Times New Roman"/>
          <w:sz w:val="24"/>
          <w:szCs w:val="24"/>
          <w:u w:val="single"/>
        </w:rPr>
        <w:t xml:space="preserve"> Service Center, Inc.</w:t>
      </w:r>
      <w:r w:rsidRPr="00B40B6B">
        <w:rPr>
          <w:rFonts w:ascii="Times New Roman" w:hAnsi="Times New Roman"/>
          <w:sz w:val="24"/>
          <w:szCs w:val="24"/>
        </w:rPr>
        <w:t xml:space="preserve">, 807 S.W.2d 476, 483 (Ky. 1991).  In using the word “impossible,” the Supreme Court of Kentucky acknowledged that it was being “used in a practical sense not an absolute sense.”  </w:t>
      </w:r>
      <w:r w:rsidRPr="00B40B6B">
        <w:rPr>
          <w:rFonts w:ascii="Times New Roman" w:hAnsi="Times New Roman"/>
          <w:sz w:val="24"/>
          <w:szCs w:val="24"/>
          <w:u w:val="single"/>
        </w:rPr>
        <w:t xml:space="preserve">Perkins v. </w:t>
      </w:r>
      <w:proofErr w:type="spellStart"/>
      <w:r w:rsidRPr="00B40B6B">
        <w:rPr>
          <w:rFonts w:ascii="Times New Roman" w:hAnsi="Times New Roman"/>
          <w:sz w:val="24"/>
          <w:szCs w:val="24"/>
          <w:u w:val="single"/>
        </w:rPr>
        <w:t>Hausladen</w:t>
      </w:r>
      <w:proofErr w:type="spellEnd"/>
      <w:r w:rsidRPr="00B40B6B">
        <w:rPr>
          <w:rFonts w:ascii="Times New Roman" w:hAnsi="Times New Roman"/>
          <w:sz w:val="24"/>
          <w:szCs w:val="24"/>
        </w:rPr>
        <w:t xml:space="preserve">, 828 S.W.2d 652, 654 (Ky. 1992).  Moreover, the party opposing summary judgment “cannot rely on the hope that the trier of fact will disbelieve the movant’s denial of a disputed fact, but must present affirmative evidence in order to defeat a properly supported motion for summary judgment.”  </w:t>
      </w:r>
      <w:proofErr w:type="spellStart"/>
      <w:r w:rsidRPr="00B40B6B">
        <w:rPr>
          <w:rFonts w:ascii="Times New Roman" w:hAnsi="Times New Roman"/>
          <w:sz w:val="24"/>
          <w:szCs w:val="24"/>
          <w:u w:val="single"/>
        </w:rPr>
        <w:t>Steelvest</w:t>
      </w:r>
      <w:proofErr w:type="spellEnd"/>
      <w:r w:rsidRPr="00B40B6B">
        <w:rPr>
          <w:rFonts w:ascii="Times New Roman" w:hAnsi="Times New Roman"/>
          <w:sz w:val="24"/>
          <w:szCs w:val="24"/>
        </w:rPr>
        <w:t xml:space="preserve">, 807 S.W.2d at 481 (internal quotations omitted) (citation omitted). </w:t>
      </w:r>
    </w:p>
    <w:p w:rsidR="00C7280C" w:rsidRDefault="00727AB8">
      <w:bookmarkStart w:id="0" w:name="_GoBack"/>
      <w:bookmarkEnd w:id="0"/>
    </w:p>
    <w:sectPr w:rsidR="00C72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AB8"/>
    <w:rsid w:val="00727AB8"/>
    <w:rsid w:val="00BC4E21"/>
    <w:rsid w:val="00EB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CFCD7F-FBD3-4A8C-8664-2674EB976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7AB8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Hibben</dc:creator>
  <cp:keywords/>
  <dc:description/>
  <cp:lastModifiedBy>Celia Hibben</cp:lastModifiedBy>
  <cp:revision>1</cp:revision>
  <dcterms:created xsi:type="dcterms:W3CDTF">2016-02-06T14:30:00Z</dcterms:created>
  <dcterms:modified xsi:type="dcterms:W3CDTF">2016-02-06T14:31:00Z</dcterms:modified>
</cp:coreProperties>
</file>