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60"/>
      </w:pPr>
      <w:r>
        <w:rPr>
          <w:b/>
        </w:rPr>
        <w:t>VinSOC</w:t>
      </w:r>
    </w:p>
    <w:p>
      <w:pPr>
        <w:pStyle w:val="Title"/>
      </w:pPr>
      <w:r>
        <w:t>Báo cáo hệ thống VinSOC</w:t>
      </w:r>
    </w:p>
    <w:p>
      <w:pPr>
        <w:pStyle w:val="Subtitle"/>
      </w:pPr>
      <w:r>
        <w:t>Công việc đã thực hiện và kết quả thực nghiệm</w:t>
      </w:r>
    </w:p>
    <w:p>
      <w:pPr>
        <w:spacing w:after="320"/>
      </w:pPr>
      <w:r>
        <w:t>Cập nhật ngày 15 tháng 10 năm 2026</w:t>
      </w:r>
    </w:p>
    <w:p>
      <w:pPr>
        <w:pStyle w:val="Heading2"/>
      </w:pPr>
      <w:r>
        <w:t>Mục tiêu và kết quả chính</w:t>
      </w:r>
    </w:p>
    <w:p>
      <w:r>
        <w:t>VinSOC hỗ trợ người phân tích SOC điều tra cảnh báo, IOC và câu hỏi về dữ liệu mạng. Hệ thống lựa chọn nguồn cần tra cứu, bổ sung ngữ cảnh, phân tích dữ liệu, lưu dẫn chứng và tạo nhận định để người phân tích xem xét. Hai trọng tâm thực nghiệm là độ chính xác gọi công cụ R1 và độ chính xác Text-to-SQL R2.</w:t>
      </w:r>
    </w:p>
    <w:p>
      <w:r>
        <w:t>Các thành phần đã có gồm bộ điều phối dùng mô hình ngôn ngữ, công cụ CTI, network và endpoint, dịch vụ Text-to-SQL, kho dẫn chứng, kiểm chứng kết quả và giao diện theo dõi điều tra. Đã có các lượt gọi mô hình và thực thi truy vấn thật; một số tình huống thành công, một số bị dừng hoặc trả lời sai và được giữ lại để phân tích.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45"/>
        <w:gridCol w:w="7421"/>
      </w:tblGrid>
      <w:tr>
        <w:trPr>
          <w:cantSplit/>
          <w:tblHeader/>
        </w:trPr>
        <w:tc>
          <w:tcPr>
            <w:tcW w:type="dxa" w:w="2745"/>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Hạng mục</w:t>
            </w:r>
          </w:p>
        </w:tc>
        <w:tc>
          <w:tcPr>
            <w:tcW w:type="dxa" w:w="7421"/>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Công việc đã thực hiện</w:t>
            </w:r>
          </w:p>
        </w:tc>
      </w:tr>
      <w:tr>
        <w:trPr>
          <w:cantSplit/>
        </w:trPr>
        <w:tc>
          <w:tcPr>
            <w:tcW w:type="dxa" w:w="2745"/>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R1 gọi công cụ</w:t>
            </w:r>
          </w:p>
        </w:tc>
        <w:tc>
          <w:tcPr>
            <w:tcW w:type="dxa" w:w="7421"/>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Xây schema ba công cụ; chấm chọn tool, tham số, gọi thừa và không gọi tool. Chuẩn bị thêm bộ 120 ca đã duyệt.</w:t>
            </w:r>
          </w:p>
        </w:tc>
      </w:tr>
      <w:tr>
        <w:trPr>
          <w:cantSplit/>
        </w:trPr>
        <w:tc>
          <w:tcPr>
            <w:tcW w:type="dxa" w:w="2745"/>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R2 Text-to-SQL</w:t>
            </w:r>
          </w:p>
        </w:tc>
        <w:tc>
          <w:tcPr>
            <w:tcW w:type="dxa" w:w="7421"/>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Tích hợp sinh SQL với DuckDB; có cấu hình trực tiếp và cấu hình dùng linker; thiết kế 96 câu evaluation đa lĩnh vực.</w:t>
            </w:r>
          </w:p>
        </w:tc>
      </w:tr>
      <w:tr>
        <w:trPr>
          <w:cantSplit/>
        </w:trPr>
        <w:tc>
          <w:tcPr>
            <w:tcW w:type="dxa" w:w="2745"/>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Điều tra có dẫn chứng</w:t>
            </w:r>
          </w:p>
        </w:tc>
        <w:tc>
          <w:tcPr>
            <w:tcW w:type="dxa" w:w="7421"/>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Thu kết quả công cụ, gắn nguồn, kiểm nhận định và đưa hồ sơ đến bước review.</w:t>
            </w:r>
          </w:p>
        </w:tc>
      </w:tr>
      <w:tr>
        <w:trPr>
          <w:cantSplit/>
        </w:trPr>
        <w:tc>
          <w:tcPr>
            <w:tcW w:type="dxa" w:w="2745"/>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Giao diện và vận hành</w:t>
            </w:r>
          </w:p>
        </w:tc>
        <w:tc>
          <w:tcPr>
            <w:tcW w:type="dxa" w:w="7421"/>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Theo dõi từng bước chạy; xem kết quả, lỗi, thời gian và chi phí; mở lại hồ sơ đã lưu.</w:t>
            </w:r>
          </w:p>
        </w:tc>
      </w:tr>
    </w:tbl>
    <w:p>
      <w:pPr>
        <w:spacing w:after="20" w:before="0" w:line="60" w:lineRule="exact"/>
      </w:pPr>
      <w:r>
        <w:rPr>
          <w:sz w:val="6"/>
        </w:rPr>
      </w:r>
    </w:p>
    <w:p>
      <w:pPr>
        <w:pStyle w:val="Heading2"/>
      </w:pPr>
      <w:r>
        <w:t>Vấn đề cần hoàn thiện</w:t>
      </w:r>
    </w:p>
    <w:p>
      <w:r>
        <w:t>Triage ban đầu hiện dựa trên quy tắc phân loại văn bản, chưa bảo đảm mọi kết luận đều đi sau enrichment và kiểm tra hành vi. Điểm phát triển R1 đạt 91,67% trên 24 ca; R2 từng đạt 87,5% trên 8 câu CTU. Hai kết quả này chưa phải điểm của các bộ mở rộng 120 và 96 ca.</w:t>
      </w:r>
    </w:p>
    <w:p>
      <w:r>
        <w:br w:type="page"/>
      </w:r>
    </w:p>
    <w:p>
      <w:pPr>
        <w:pStyle w:val="Heading1"/>
      </w:pPr>
      <w:r>
        <w:t>1 Triage và phạm vi điều tra</w:t>
      </w:r>
    </w:p>
    <w:p>
      <w:pPr>
        <w:pStyle w:val="Heading2"/>
      </w:pPr>
      <w:r>
        <w:t>Triage hiện tại làm gì</w:t>
      </w:r>
    </w:p>
    <w:p>
      <w:r>
        <w:t>Luồng IOC cũ ghép chỉ báo và ngữ cảnh cảnh báo, nhận diện cụm từ bằng quy tắc, xử lý phủ định rồi gán nhãn benign, suspicious hoặc needs investigation. Đây là bước sàng lọc theo nội dung được cung cấp, chưa phải kết luận hình thành từ bằng chứng CTI, lưu lượng hay hoạt động máy trạm.</w:t>
      </w:r>
    </w:p>
    <w:p>
      <w:r>
        <w:t>Nếu nhãn ban đầu là benign và có human review, hệ thống hỏi người phân tích có đóng cảnh báo hay tiếp tục điều tra. Khi không cấu hình human review, nhánh cũ vẫn có thể tự đóng trước enrichment. Vì vậy, nhận xét của mentor về việc triage quá sớm là có cơ sở; các công cụ điều tra đã có chưa giải quyết hoàn toàn điểm này.</w:t>
      </w:r>
    </w:p>
    <w:p>
      <w:pPr>
        <w:pStyle w:val="Heading2"/>
      </w:pPr>
      <w:r>
        <w:t>Các bước điều tra đã được triển khai</w:t>
      </w:r>
    </w:p>
    <w:p>
      <w:r>
        <w:t>Khi tiếp tục điều tra, bộ điều phối lựa chọn công cụ theo yêu cầu. CTI bổ sung thông tin về IOC; network tìm kết nối và đặc trưng hành vi; endpoint truy lại máy trạm và quan hệ tiến trình. Kết quả được lưu thành dẫn chứng trước khi tạo nhận định, kiểm tính truy nguồn và chuyển cho người duyệt.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47"/>
        <w:gridCol w:w="7320"/>
      </w:tblGrid>
      <w:tr>
        <w:trPr>
          <w:cantSplit/>
          <w:tblHeader/>
        </w:trPr>
        <w:tc>
          <w:tcPr>
            <w:tcW w:type="dxa" w:w="2847"/>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Loại thông tin</w:t>
            </w:r>
          </w:p>
        </w:tc>
        <w:tc>
          <w:tcPr>
            <w:tcW w:type="dxa" w:w="7320"/>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Vai trò trong quyết định</w:t>
            </w:r>
          </w:p>
        </w:tc>
      </w:tr>
      <w:tr>
        <w:trPr>
          <w:cantSplit/>
        </w:trPr>
        <w:tc>
          <w:tcPr>
            <w:tcW w:type="dxa" w:w="284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Cảnh báo đầu vào</w:t>
            </w:r>
          </w:p>
        </w:tc>
        <w:tc>
          <w:tcPr>
            <w:tcW w:type="dxa" w:w="7320"/>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Nêu lý do bắt đầu và các đối tượng cần điều tra; chưa đủ để kết luận độc hại hay an toàn.</w:t>
            </w:r>
          </w:p>
        </w:tc>
      </w:tr>
      <w:tr>
        <w:trPr>
          <w:cantSplit/>
        </w:trPr>
        <w:tc>
          <w:tcPr>
            <w:tcW w:type="dxa" w:w="284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Bằng chứng thu thập</w:t>
            </w:r>
          </w:p>
        </w:tc>
        <w:tc>
          <w:tcPr>
            <w:tcW w:type="dxa" w:w="7320"/>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Cho biết IOC có trong nguồn CTI không, máy nào đã kết nối, hành vi nào xuất hiện và thời điểm liên quan.</w:t>
            </w:r>
          </w:p>
        </w:tc>
      </w:tr>
      <w:tr>
        <w:trPr>
          <w:cantSplit/>
        </w:trPr>
        <w:tc>
          <w:tcPr>
            <w:tcW w:type="dxa" w:w="284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Nhận định sau điều tra</w:t>
            </w:r>
          </w:p>
        </w:tc>
        <w:tc>
          <w:tcPr>
            <w:tcW w:type="dxa" w:w="7320"/>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Tổng hợp bằng chứng ủng hộ, mâu thuẫn và phần còn thiếu; người phân tích xem xét quyết định cuối.</w:t>
            </w:r>
          </w:p>
        </w:tc>
      </w:tr>
    </w:tbl>
    <w:p>
      <w:pPr>
        <w:spacing w:after="20" w:before="0" w:line="60" w:lineRule="exact"/>
      </w:pPr>
      <w:r>
        <w:rPr>
          <w:sz w:val="6"/>
        </w:rPr>
      </w:r>
    </w:p>
    <w:p>
      <w:pPr>
        <w:pStyle w:val="Heading2"/>
      </w:pPr>
      <w:r>
        <w:t>Điều kiện để triage đáp ứng yêu cầu mentor</w:t>
      </w:r>
    </w:p>
    <w:p>
      <w:r>
        <w:t>Cần tách tiếp nhận và ưu tiên xử lý khỏi kết luận cuối. Không đóng benign chỉ vì một từ khóa trong cảnh báo. Kết luận cần dựa trên nguồn đã tra và dữ liệu hành vi phù hợp; khi thiếu dữ liệu phải giữ trạng thái chưa đủ bằng chứng. Luồng triage sau enrichment còn là phần cần hoàn thiện, không được tính là đã nghiệm thu chỉ bằng việc sửa mô tả.</w:t>
      </w:r>
    </w:p>
    <w:p>
      <w:r>
        <w:t>Luồng câu hỏi Text-to-SQL chỉ xác thực câu hỏi và phạm vi dữ liệu trước truy vấn. Bước đó không thực hiện phân loại đe dọa và không thay thế triage cảnh báo.</w:t>
      </w:r>
    </w:p>
    <w:p>
      <w:r>
        <w:br w:type="page"/>
      </w:r>
    </w:p>
    <w:p>
      <w:pPr>
        <w:pStyle w:val="Heading1"/>
      </w:pPr>
      <w:r>
        <w:t>2 Enrichment và kiểm tra hành vi</w:t>
      </w:r>
    </w:p>
    <w:p>
      <w:pPr>
        <w:pStyle w:val="Heading2"/>
      </w:pPr>
      <w:r>
        <w:t>CTI và kiểm tra liên quan đến C2</w:t>
      </w:r>
    </w:p>
    <w:p>
      <w:r>
        <w:t>CTI tra IOC trong nguồn được cấu hình để lấy bản ghi khớp, họ malware, loại mối đe dọa và thông tin kỹ thuật liên quan. ATT&amp;CK bổ sung ngữ cảnh kỹ thuật khi có tên phần mềm hoặc kỹ thuật phù hợp. Không có bản ghi CTI không đồng nghĩa IOC an toàn.</w:t>
      </w:r>
    </w:p>
    <w:p>
      <w:r>
        <w:t>Với nghi vấn C2, phần network nhóm các flow theo IP nguồn, IP đích, cổng đích và giao thức, rồi đo khoảng cách thời gian giữa các kết nối. Mặc định cần ít nhất bốn flow; hệ số biến thiên khoảng thời gian không quá 0,30 được đánh dấu là ứng viên kết nối định kỳ. Đây là dấu hiệu phục vụ điều tra, chưa phải xác nhận C2.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53"/>
        <w:gridCol w:w="6913"/>
      </w:tblGrid>
      <w:tr>
        <w:trPr>
          <w:cantSplit/>
          <w:tblHeader/>
        </w:trPr>
        <w:tc>
          <w:tcPr>
            <w:tcW w:type="dxa" w:w="3253"/>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Kiểm tra network</w:t>
            </w:r>
          </w:p>
        </w:tc>
        <w:tc>
          <w:tcPr>
            <w:tcW w:type="dxa" w:w="6913"/>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Thông tin trả về</w:t>
            </w:r>
          </w:p>
        </w:tc>
      </w:tr>
      <w:tr>
        <w:trPr>
          <w:cantSplit/>
        </w:trPr>
        <w:tc>
          <w:tcPr>
            <w:tcW w:type="dxa" w:w="325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Kết nối định kỳ</w:t>
            </w:r>
          </w:p>
        </w:tc>
        <w:tc>
          <w:tcPr>
            <w:tcW w:type="dxa" w:w="691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Số flow, trung bình và trung vị khoảng cách thời gian, độ lệch và danh sách sự kiện liên quan.</w:t>
            </w:r>
          </w:p>
        </w:tc>
      </w:tr>
      <w:tr>
        <w:trPr>
          <w:cantSplit/>
        </w:trPr>
        <w:tc>
          <w:tcPr>
            <w:tcW w:type="dxa" w:w="325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Ứng viên quét ngang hoặc dọc</w:t>
            </w:r>
          </w:p>
        </w:tc>
        <w:tc>
          <w:tcPr>
            <w:tcW w:type="dxa" w:w="691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Trong cửa sổ 60 giây, mặc định từ tám đích khác nhau trên một cổng hoặc tám cổng trên một đích.</w:t>
            </w:r>
          </w:p>
        </w:tc>
      </w:tr>
      <w:tr>
        <w:trPr>
          <w:cantSplit/>
        </w:trPr>
        <w:tc>
          <w:tcPr>
            <w:tcW w:type="dxa" w:w="325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Lưu lượng truyền</w:t>
            </w:r>
          </w:p>
        </w:tc>
        <w:tc>
          <w:tcPr>
            <w:tcW w:type="dxa" w:w="691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Tổng byte ra và vào, tỷ lệ hai chiều, số kết nối và phạm vi nội bộ hoặc bên ngoài nếu đã cấu hình.</w:t>
            </w:r>
          </w:p>
        </w:tc>
      </w:tr>
      <w:tr>
        <w:trPr>
          <w:cantSplit/>
        </w:trPr>
        <w:tc>
          <w:tcPr>
            <w:tcW w:type="dxa" w:w="325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Truy cập dịch vụ quản trị</w:t>
            </w:r>
          </w:p>
        </w:tc>
        <w:tc>
          <w:tcPr>
            <w:tcW w:type="dxa" w:w="691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Ứng viên một nguồn liên hệ từ bốn đích nội bộ trên các cổng quản trị; cần ngữ cảnh tài sản để giải thích.</w:t>
            </w:r>
          </w:p>
        </w:tc>
      </w:tr>
    </w:tbl>
    <w:p>
      <w:pPr>
        <w:spacing w:after="20" w:before="0" w:line="60" w:lineRule="exact"/>
      </w:pPr>
      <w:r>
        <w:rPr>
          <w:sz w:val="6"/>
        </w:rPr>
      </w:r>
    </w:p>
    <w:p>
      <w:pPr>
        <w:pStyle w:val="Heading2"/>
      </w:pPr>
      <w:r>
        <w:t>Đối chiếu trên máy trạm</w:t>
      </w:r>
    </w:p>
    <w:p>
      <w:r>
        <w:t>Endpoint lấy cây tiến trình theo host và khoảng thời gian, kiểm các quan hệ như Office khởi chạy PowerShell, ứng dụng thông thường sinh công cụ hệ thống, hoặc PowerShell sinh rundll32 và mshta. Kết quả gồm quan hệ cha con, lý do nghi vấn và kỹ thuật ATT&amp;CK tương ứng nếu có.</w:t>
      </w:r>
    </w:p>
    <w:p>
      <w:r>
        <w:t>Để củng cố một giả thuyết C2, người phân tích cần đối chiếu đích trong CTI, kết nối thực tế và tiến trình liên quan trong cùng ngữ cảnh thời gian. Hệ thống đã có các nguồn và phép phân tích nêu trên, nhưng chưa có bộ đo xác nhận C2 đầu cuối. Flow định kỳ, tỷ lệ byte lớn hay tên tiến trình riêng lẻ chưa đủ kết luận xâm nhập.</w:t>
      </w:r>
    </w:p>
    <w:p>
      <w:r>
        <w:t>Network hiện tra theo IPv4. Tra cứu chỉ bằng tên miền và tương quan DNS hoặc TLS chưa được hỗ trợ trong nguồn flow hiện tại. Công cụ cũng cần dữ liệu đã cấu hình; không có dữ liệu phù hợp phải được báo thiếu.</w:t>
      </w:r>
    </w:p>
    <w:p>
      <w:r>
        <w:br w:type="page"/>
      </w:r>
    </w:p>
    <w:p>
      <w:pPr>
        <w:pStyle w:val="Heading1"/>
      </w:pPr>
      <w:r>
        <w:t>3 Các công cụ điều tra của hệ thống</w:t>
      </w:r>
    </w:p>
    <w:p>
      <w:r>
        <w:t>VinSOC có chín tên công cụ được cung cấp cho mô hình trong các profile khác nhau. Không có một lượt điều tra nào mặc định được quyền dùng toàn bộ công cụ. R1 hiện chỉ chấm ba công cụ điều tra ở nhóm đầu.</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7"/>
        <w:gridCol w:w="6710"/>
      </w:tblGrid>
      <w:tr>
        <w:trPr>
          <w:cantSplit/>
          <w:tblHeader/>
        </w:trPr>
        <w:tc>
          <w:tcPr>
            <w:tcW w:type="dxa" w:w="3457"/>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Công cụ</w:t>
            </w:r>
          </w:p>
        </w:tc>
        <w:tc>
          <w:tcPr>
            <w:tcW w:type="dxa" w:w="6710"/>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Chức năng và đầu vào dễ hiểu</w:t>
            </w:r>
          </w:p>
        </w:tc>
      </w:tr>
      <w:tr>
        <w:trPr>
          <w:cantSplit/>
        </w:trPr>
        <w:tc>
          <w:tcPr>
            <w:tcW w:type="dxa" w:w="345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cti_enrichment</w:t>
            </w:r>
          </w:p>
        </w:tc>
        <w:tc>
          <w:tcPr>
            <w:tcW w:type="dxa" w:w="6710"/>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Tra thông tin CTI cho IP, tên miền, URL hoặc hash theo khả năng nguồn. Trả bản ghi khớp, ngữ cảnh đe dọa và nguồn; không dùng để tra hostname máy trạm.</w:t>
            </w:r>
          </w:p>
        </w:tc>
      </w:tr>
      <w:tr>
        <w:trPr>
          <w:cantSplit/>
        </w:trPr>
        <w:tc>
          <w:tcPr>
            <w:tcW w:type="dxa" w:w="345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network_investigation</w:t>
            </w:r>
          </w:p>
        </w:tc>
        <w:tc>
          <w:tcPr>
            <w:tcW w:type="dxa" w:w="6710"/>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Nhận IPv4 và khoảng thời gian để tìm flow, thống kê kết nối, cổng và đích, kiểm định kỳ, quét và lưu lượng. Không nhận SQL từ mô hình ở lớp điều phối.</w:t>
            </w:r>
          </w:p>
        </w:tc>
      </w:tr>
      <w:tr>
        <w:trPr>
          <w:cantSplit/>
        </w:trPr>
        <w:tc>
          <w:tcPr>
            <w:tcW w:type="dxa" w:w="345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endpoint_investigation</w:t>
            </w:r>
          </w:p>
        </w:tc>
        <w:tc>
          <w:tcPr>
            <w:tcW w:type="dxa" w:w="6710"/>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Nhận host và khoảng thời gian, tìm sự kiện máy trạm, cây tiến trình và quan hệ cha con nghi vấn.</w:t>
            </w:r>
          </w:p>
        </w:tc>
      </w:tr>
      <w:tr>
        <w:trPr>
          <w:cantSplit/>
        </w:trPr>
        <w:tc>
          <w:tcPr>
            <w:tcW w:type="dxa" w:w="345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network_query</w:t>
            </w:r>
          </w:p>
        </w:tc>
        <w:tc>
          <w:tcPr>
            <w:tcW w:type="dxa" w:w="6710"/>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Nhận nguyên văn câu hỏi mạng. Gọi dịch vụ Text-to-SQL trên snapshot được cấp và trả kết quả truy vấn kèm dẫn chứng.</w:t>
            </w:r>
          </w:p>
        </w:tc>
      </w:tr>
      <w:tr>
        <w:trPr>
          <w:cantSplit/>
        </w:trPr>
        <w:tc>
          <w:tcPr>
            <w:tcW w:type="dxa" w:w="345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soc_search_events</w:t>
            </w:r>
          </w:p>
        </w:tc>
        <w:tc>
          <w:tcPr>
            <w:tcW w:type="dxa" w:w="6710"/>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Tìm sự kiện theo host, user, nguồn, nội dung và thời gian trong hồ sơ SOC traces đang được cấp. Dữ liệu ở profile này là dữ liệu tổng hợp.</w:t>
            </w:r>
          </w:p>
        </w:tc>
      </w:tr>
      <w:tr>
        <w:trPr>
          <w:cantSplit/>
        </w:trPr>
        <w:tc>
          <w:tcPr>
            <w:tcW w:type="dxa" w:w="345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soc_get_context</w:t>
            </w:r>
          </w:p>
        </w:tc>
        <w:tc>
          <w:tcPr>
            <w:tcW w:type="dxa" w:w="6710"/>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Lấy cây tiến trình, thông tin tài sản hoặc cảnh báo liên quan của cùng hồ sơ SOC traces. Dữ liệu không có được trả là unavailable hoặc no match.</w:t>
            </w:r>
          </w:p>
        </w:tc>
      </w:tr>
    </w:tbl>
    <w:p>
      <w:pPr>
        <w:spacing w:after="20" w:before="0" w:line="60" w:lineRule="exact"/>
      </w:pPr>
      <w:r>
        <w:rPr>
          <w:sz w:val="6"/>
        </w:rPr>
      </w:r>
    </w:p>
    <w:p>
      <w:pPr>
        <w:pStyle w:val="Heading2"/>
      </w:pPr>
      <w:r>
        <w:t>Quy tắc sử dụng</w:t>
      </w:r>
    </w:p>
    <w:p>
      <w:r>
        <w:t>Công cụ chỉ đọc dữ liệu trong phạm vi được cấp. Một yêu cầu có thể cần một, nhiều hoặc không cần công cụ. Thiếu IP, host hoặc phạm vi thời gian cần thiết phải dẫn đến hỏi thêm hoặc nêu giới hạn, thay vì tự tạo thông tin.</w:t>
      </w:r>
    </w:p>
    <w:p>
      <w:r>
        <w:t>Các công cụ SOC traces phục vụ luồng thí nghiệm riêng và không phải kết nối trực tiếp đến một SIEM sản xuất. Các adapter dự kiến cho Google SecOps, GTI và SCC hiện là khung tích hợp, chưa được trình bày như dịch vụ đã kết nối vận hành.</w:t>
      </w:r>
    </w:p>
    <w:p>
      <w:r>
        <w:br w:type="page"/>
      </w:r>
    </w:p>
    <w:p>
      <w:pPr>
        <w:pStyle w:val="Heading1"/>
      </w:pPr>
      <w:r>
        <w:t>4 Công cụ dữ liệu và hạ tầng hỗ trợ</w:t>
      </w:r>
    </w:p>
    <w:p>
      <w:pPr>
        <w:pStyle w:val="Heading2"/>
      </w:pPr>
      <w:r>
        <w:t>Ba công cụ bên trong cấu hình R2 có linker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53"/>
        <w:gridCol w:w="6913"/>
      </w:tblGrid>
      <w:tr>
        <w:trPr>
          <w:cantSplit/>
          <w:tblHeader/>
        </w:trPr>
        <w:tc>
          <w:tcPr>
            <w:tcW w:type="dxa" w:w="3253"/>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Công cụ</w:t>
            </w:r>
          </w:p>
        </w:tc>
        <w:tc>
          <w:tcPr>
            <w:tcW w:type="dxa" w:w="6913"/>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Vai trò</w:t>
            </w:r>
          </w:p>
        </w:tc>
      </w:tr>
      <w:tr>
        <w:trPr>
          <w:cantSplit/>
        </w:trPr>
        <w:tc>
          <w:tcPr>
            <w:tcW w:type="dxa" w:w="325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database_profiler</w:t>
            </w:r>
          </w:p>
        </w:tc>
        <w:tc>
          <w:tcPr>
            <w:tcW w:type="dxa" w:w="691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Khảo sát bảng và các cột được phép để hỗ trợ hiểu cấu trúc và dữ liệu trước khi sinh SQL.</w:t>
            </w:r>
          </w:p>
        </w:tc>
      </w:tr>
      <w:tr>
        <w:trPr>
          <w:cantSplit/>
        </w:trPr>
        <w:tc>
          <w:tcPr>
            <w:tcW w:type="dxa" w:w="325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value_search</w:t>
            </w:r>
          </w:p>
        </w:tc>
        <w:tc>
          <w:tcPr>
            <w:tcW w:type="dxa" w:w="691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Tìm giá trị thực trong cột bằng đối sánh chính xác, tiền tố hoặc chuỗi con. Trả dẫn chứng giá trị để tránh tự suy diễn điều kiện lọc.</w:t>
            </w:r>
          </w:p>
        </w:tc>
      </w:tr>
      <w:tr>
        <w:trPr>
          <w:cantSplit/>
        </w:trPr>
        <w:tc>
          <w:tcPr>
            <w:tcW w:type="dxa" w:w="325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sql_probe</w:t>
            </w:r>
          </w:p>
        </w:tc>
        <w:tc>
          <w:tcPr>
            <w:tcW w:type="dxa" w:w="691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Thử truy vấn chỉ đọc trong môi trường cách ly để kiểm ý tưởng hoặc dữ liệu. Kết quả thử không thay bằng chứng giá trị theo hợp đồng của value_search.</w:t>
            </w:r>
          </w:p>
        </w:tc>
      </w:tr>
    </w:tbl>
    <w:p>
      <w:pPr>
        <w:spacing w:after="20" w:before="0" w:line="60" w:lineRule="exact"/>
      </w:pPr>
      <w:r>
        <w:rPr>
          <w:sz w:val="6"/>
        </w:rPr>
      </w:r>
    </w:p>
    <w:p>
      <w:pPr>
        <w:pStyle w:val="Heading2"/>
      </w:pPr>
      <w:r>
        <w:t>Nguồn enrichment được hỗ trợ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47"/>
        <w:gridCol w:w="7320"/>
      </w:tblGrid>
      <w:tr>
        <w:trPr>
          <w:cantSplit/>
          <w:tblHeader/>
        </w:trPr>
        <w:tc>
          <w:tcPr>
            <w:tcW w:type="dxa" w:w="2847"/>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Nguồn</w:t>
            </w:r>
          </w:p>
        </w:tc>
        <w:tc>
          <w:tcPr>
            <w:tcW w:type="dxa" w:w="7320"/>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Chức năng và điều kiện sử dụng</w:t>
            </w:r>
          </w:p>
        </w:tc>
      </w:tr>
      <w:tr>
        <w:trPr>
          <w:cantSplit/>
        </w:trPr>
        <w:tc>
          <w:tcPr>
            <w:tcW w:type="dxa" w:w="284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ThreatFox</w:t>
            </w:r>
          </w:p>
        </w:tc>
        <w:tc>
          <w:tcPr>
            <w:tcW w:type="dxa" w:w="7320"/>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Tra IOC và ngữ cảnh đe dọa từ abuse.ch; có adapter API và khả năng dùng dữ liệu cục bộ được cấu hình.</w:t>
            </w:r>
          </w:p>
        </w:tc>
      </w:tr>
      <w:tr>
        <w:trPr>
          <w:cantSplit/>
        </w:trPr>
        <w:tc>
          <w:tcPr>
            <w:tcW w:type="dxa" w:w="284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MalwareBazaar</w:t>
            </w:r>
          </w:p>
        </w:tc>
        <w:tc>
          <w:tcPr>
            <w:tcW w:type="dxa" w:w="7320"/>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Tra hash tệp; không áp dụng cho mọi loại IOC.</w:t>
            </w:r>
          </w:p>
        </w:tc>
      </w:tr>
      <w:tr>
        <w:trPr>
          <w:cantSplit/>
        </w:trPr>
        <w:tc>
          <w:tcPr>
            <w:tcW w:type="dxa" w:w="284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URLhaus</w:t>
            </w:r>
          </w:p>
        </w:tc>
        <w:tc>
          <w:tcPr>
            <w:tcW w:type="dxa" w:w="7320"/>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Tra IOC trong dữ liệu URLhaus cục bộ khi đã cung cấp tệp nguồn.</w:t>
            </w:r>
          </w:p>
        </w:tc>
      </w:tr>
      <w:tr>
        <w:trPr>
          <w:cantSplit/>
        </w:trPr>
        <w:tc>
          <w:tcPr>
            <w:tcW w:type="dxa" w:w="284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MITRE ATT&amp;CK</w:t>
            </w:r>
          </w:p>
        </w:tc>
        <w:tc>
          <w:tcPr>
            <w:tcW w:type="dxa" w:w="7320"/>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Ánh xạ phần mềm và malware sang kỹ thuật từ dữ liệu STIX cục bộ. Đây là cơ sở tri thức, không phải dịch vụ chấm uy tín IP.</w:t>
            </w:r>
          </w:p>
        </w:tc>
      </w:tr>
    </w:tbl>
    <w:p>
      <w:pPr>
        <w:spacing w:after="20" w:before="0" w:line="60" w:lineRule="exact"/>
      </w:pPr>
      <w:r>
        <w:rPr>
          <w:sz w:val="6"/>
        </w:rPr>
      </w:r>
    </w:p>
    <w:p>
      <w:r>
        <w:t>Có adapter chưa có nghĩa mọi nguồn đã hoạt động trong mọi demo. Nguồn CTI cần cấu hình và quyền truy cập phù hợp; không có nguồn thì công cụ báo lỗi hoặc thiếu dữ liệu, không tạo kết quả thay thế.</w:t>
      </w:r>
    </w:p>
    <w:p>
      <w:pPr>
        <w:pStyle w:val="Heading2"/>
      </w:pPr>
      <w:r>
        <w:t>Thành phần thực thi</w:t>
      </w:r>
    </w:p>
    <w:p>
      <w:r>
        <w:t>DuckDB lưu và truy vấn snapshot; SQLGlot kiểm cấu trúc và chính sách SQL. Worker Linux dùng bubblewrap và giới hạn tài nguyên để chạy truy vấn chỉ đọc, tách mạng và bí mật khỏi môi trường thực thi. OpenAI cung cấp các mô hình đã chọn; Streamlit cung cấp giao diện thao tác và xem hồ sơ. Kho dẫn chứng giữ dữ liệu, nguồn và quan hệ giữa kết quả với nhận định.</w:t>
      </w:r>
    </w:p>
    <w:p>
      <w:r>
        <w:t>Cấu hình R2 trực tiếp sử dụng generator. Cấu hình R2 có linker sử dụng thêm ba công cụ DB nói trên. Routing và assessment thuộc lớp điều phối điều tra, được đo riêng với độ chính xác sinh SQL.</w:t>
      </w:r>
    </w:p>
    <w:p>
      <w:r>
        <w:br w:type="page"/>
      </w:r>
    </w:p>
    <w:p>
      <w:pPr>
        <w:pStyle w:val="Heading1"/>
      </w:pPr>
      <w:r>
        <w:t>5 Dữ liệu và thiết kế đánh giá</w:t>
      </w:r>
    </w:p>
    <w:p>
      <w:pPr>
        <w:pStyle w:val="Heading2"/>
      </w:pPr>
      <w:r>
        <w:t>R1 mở rộng gồm 120 ca mới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26"/>
        <w:gridCol w:w="2440"/>
      </w:tblGrid>
      <w:tr>
        <w:trPr>
          <w:cantSplit/>
          <w:tblHeader/>
        </w:trPr>
        <w:tc>
          <w:tcPr>
            <w:tcW w:type="dxa" w:w="7726"/>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Quyết định cần thực hiện</w:t>
            </w:r>
          </w:p>
        </w:tc>
        <w:tc>
          <w:tcPr>
            <w:tcW w:type="dxa" w:w="2440"/>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Số ca</w:t>
            </w:r>
          </w:p>
        </w:tc>
      </w:tr>
      <w:tr>
        <w:trPr>
          <w:cantSplit/>
        </w:trPr>
        <w:tc>
          <w:tcPr>
            <w:tcW w:type="dxa" w:w="7726"/>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Không gọi công cụ</w:t>
            </w:r>
          </w:p>
        </w:tc>
        <w:tc>
          <w:tcPr>
            <w:tcW w:type="dxa" w:w="244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24</w:t>
            </w:r>
          </w:p>
        </w:tc>
      </w:tr>
      <w:tr>
        <w:trPr>
          <w:cantSplit/>
        </w:trPr>
        <w:tc>
          <w:tcPr>
            <w:tcW w:type="dxa" w:w="7726"/>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Một công cụ</w:t>
            </w:r>
          </w:p>
        </w:tc>
        <w:tc>
          <w:tcPr>
            <w:tcW w:type="dxa" w:w="2440"/>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54</w:t>
            </w:r>
          </w:p>
        </w:tc>
      </w:tr>
      <w:tr>
        <w:trPr>
          <w:cantSplit/>
        </w:trPr>
        <w:tc>
          <w:tcPr>
            <w:tcW w:type="dxa" w:w="7726"/>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Hai công cụ</w:t>
            </w:r>
          </w:p>
        </w:tc>
        <w:tc>
          <w:tcPr>
            <w:tcW w:type="dxa" w:w="244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30</w:t>
            </w:r>
          </w:p>
        </w:tc>
      </w:tr>
      <w:tr>
        <w:trPr>
          <w:cantSplit/>
        </w:trPr>
        <w:tc>
          <w:tcPr>
            <w:tcW w:type="dxa" w:w="7726"/>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Ba công cụ</w:t>
            </w:r>
          </w:p>
        </w:tc>
        <w:tc>
          <w:tcPr>
            <w:tcW w:type="dxa" w:w="2440"/>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12</w:t>
            </w:r>
          </w:p>
        </w:tc>
      </w:tr>
      <w:tr>
        <w:trPr>
          <w:cantSplit/>
        </w:trPr>
        <w:tc>
          <w:tcPr>
            <w:tcW w:type="dxa" w:w="7726"/>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Tổng bộ mới</w:t>
            </w:r>
          </w:p>
        </w:tc>
        <w:tc>
          <w:tcPr>
            <w:tcW w:type="dxa" w:w="244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120</w:t>
            </w:r>
          </w:p>
        </w:tc>
      </w:tr>
    </w:tbl>
    <w:p>
      <w:pPr>
        <w:spacing w:after="20" w:before="0" w:line="60" w:lineRule="exact"/>
      </w:pPr>
      <w:r>
        <w:rPr>
          <w:sz w:val="6"/>
        </w:rPr>
      </w:r>
    </w:p>
    <w:p>
      <w:r>
        <w:t>Mỗi tool có 18 ca đơn; mỗi cặp tool có 10 ca; 12 ca cần cả ba. Bộ mới bao phủ mức cơ bản, trung bình và nâng cao, có ít nhất 30 ca robustness. Hai gói review đã hoàn tất và bộ ca đã khóa. Chưa có kết quả model đủ 120 ca để công bố điểm mới.</w:t>
      </w:r>
    </w:p>
    <w:p>
      <w:pPr>
        <w:pStyle w:val="Heading2"/>
      </w:pPr>
      <w:r>
        <w:t>R2 gồm calibration và evaluation riêng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762"/>
        <w:gridCol w:w="2338"/>
        <w:gridCol w:w="1830"/>
        <w:gridCol w:w="2237"/>
      </w:tblGrid>
      <w:tr>
        <w:trPr>
          <w:cantSplit/>
          <w:tblHeader/>
        </w:trPr>
        <w:tc>
          <w:tcPr>
            <w:tcW w:type="dxa" w:w="3762"/>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Tập</w:t>
            </w:r>
          </w:p>
        </w:tc>
        <w:tc>
          <w:tcPr>
            <w:tcW w:type="dxa" w:w="2338"/>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Ngoài SOC</w:t>
            </w:r>
          </w:p>
        </w:tc>
        <w:tc>
          <w:tcPr>
            <w:tcW w:type="dxa" w:w="1830"/>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CTU</w:t>
            </w:r>
          </w:p>
        </w:tc>
        <w:tc>
          <w:tcPr>
            <w:tcW w:type="dxa" w:w="2237"/>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Tổng câu</w:t>
            </w:r>
          </w:p>
        </w:tc>
      </w:tr>
      <w:tr>
        <w:trPr>
          <w:cantSplit/>
        </w:trPr>
        <w:tc>
          <w:tcPr>
            <w:tcW w:type="dxa" w:w="376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Calibration</w:t>
            </w:r>
          </w:p>
        </w:tc>
        <w:tc>
          <w:tcPr>
            <w:tcW w:type="dxa" w:w="2338"/>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16</w:t>
            </w:r>
          </w:p>
        </w:tc>
        <w:tc>
          <w:tcPr>
            <w:tcW w:type="dxa" w:w="183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8</w:t>
            </w:r>
          </w:p>
        </w:tc>
        <w:tc>
          <w:tcPr>
            <w:tcW w:type="dxa" w:w="2237"/>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24</w:t>
            </w:r>
          </w:p>
        </w:tc>
      </w:tr>
      <w:tr>
        <w:trPr>
          <w:cantSplit/>
        </w:trPr>
        <w:tc>
          <w:tcPr>
            <w:tcW w:type="dxa" w:w="3762"/>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Evaluation</w:t>
            </w:r>
          </w:p>
        </w:tc>
        <w:tc>
          <w:tcPr>
            <w:tcW w:type="dxa" w:w="2338"/>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64</w:t>
            </w:r>
          </w:p>
        </w:tc>
        <w:tc>
          <w:tcPr>
            <w:tcW w:type="dxa" w:w="1830"/>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32</w:t>
            </w:r>
          </w:p>
        </w:tc>
        <w:tc>
          <w:tcPr>
            <w:tcW w:type="dxa" w:w="2237"/>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96</w:t>
            </w:r>
          </w:p>
        </w:tc>
      </w:tr>
      <w:tr>
        <w:trPr>
          <w:cantSplit/>
        </w:trPr>
        <w:tc>
          <w:tcPr>
            <w:tcW w:type="dxa" w:w="376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Tổng câu mới</w:t>
            </w:r>
          </w:p>
        </w:tc>
        <w:tc>
          <w:tcPr>
            <w:tcW w:type="dxa" w:w="2338"/>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80</w:t>
            </w:r>
          </w:p>
        </w:tc>
        <w:tc>
          <w:tcPr>
            <w:tcW w:type="dxa" w:w="183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40</w:t>
            </w:r>
          </w:p>
        </w:tc>
        <w:tc>
          <w:tcPr>
            <w:tcW w:type="dxa" w:w="2237"/>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120</w:t>
            </w:r>
          </w:p>
        </w:tc>
      </w:tr>
    </w:tbl>
    <w:p>
      <w:pPr>
        <w:spacing w:after="20" w:before="0" w:line="60" w:lineRule="exact"/>
      </w:pPr>
      <w:r>
        <w:rPr>
          <w:sz w:val="6"/>
        </w:rPr>
      </w:r>
    </w:p>
    <w:p>
      <w:r>
        <w:t>Mỗi câu chạy hai cấu hình E0 và E3, tạo 48 record calibration và 192 record evaluation theo thiết kế. Số record không phải số câu độc lập. Calibration dùng chọn cấu hình; evaluation dùng đánh giá sau lựa chọn, giữ nguyên mẫu số và các ca lỗi.</w:t>
      </w:r>
    </w:p>
    <w:p>
      <w:r>
        <w:t>Evaluation ngoài SOC lấy từ Spider, gồm tám database thuộc bảy lĩnh vực. Toàn bộ 96 câu có 24 cơ bản, 48 trung bình và 24 nâng cao, bao phủ JOIN, truy vấn lồng, nhóm, thứ tự, NULL và thời gian. Bộ này là subset thích nghi cho DuckDB, không phải điểm Spider chính thức.</w:t>
      </w:r>
    </w:p>
    <w:p>
      <w:r>
        <w:t>Nguồn CTU dùng snapshot S5 và S7 có 243.906 flow. Đã kiểm dữ liệu và thực thi 120 truy vấn gold để kiểm tính hợp lệ của bộ mới; đây là kiểm bộ đo, không phải 120 câu mô hình trả lời đúng. Pipeline tích hợp 32 câu CTU là phép đo riêng.</w:t>
      </w:r>
    </w:p>
    <w:p>
      <w:r>
        <w:br w:type="page"/>
      </w:r>
    </w:p>
    <w:p>
      <w:pPr>
        <w:pStyle w:val="Heading1"/>
      </w:pPr>
      <w:r>
        <w:t>6 R1 kết quả đã đo</w:t>
      </w:r>
    </w:p>
    <w:p>
      <w:r>
        <w:t>Kết quả đã đo dưới đây thuộc bộ phát triển 24 ca, dùng GPT-4.1 mini trong một lượt quyết định native tool call. Phép đo kiểm tool và tham số được chọn, không thực thi các công cụ để chấm thành công điều tra.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58"/>
        <w:gridCol w:w="2643"/>
        <w:gridCol w:w="3965"/>
      </w:tblGrid>
      <w:tr>
        <w:trPr>
          <w:cantSplit/>
          <w:tblHeader/>
        </w:trPr>
        <w:tc>
          <w:tcPr>
            <w:tcW w:type="dxa" w:w="3558"/>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Metric</w:t>
            </w:r>
          </w:p>
        </w:tc>
        <w:tc>
          <w:tcPr>
            <w:tcW w:type="dxa" w:w="2643"/>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Kết quả</w:t>
            </w:r>
          </w:p>
        </w:tc>
        <w:tc>
          <w:tcPr>
            <w:tcW w:type="dxa" w:w="3965"/>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Cách đọc</w:t>
            </w:r>
          </w:p>
        </w:tc>
      </w:tr>
      <w:tr>
        <w:trPr>
          <w:cantSplit/>
        </w:trPr>
        <w:tc>
          <w:tcPr>
            <w:tcW w:type="dxa" w:w="3558"/>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Single Turn Case Success</w:t>
            </w:r>
          </w:p>
        </w:tc>
        <w:tc>
          <w:tcPr>
            <w:tcW w:type="dxa" w:w="2643"/>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22/24 = 91,67%</w:t>
            </w:r>
          </w:p>
        </w:tc>
        <w:tc>
          <w:tcPr>
            <w:tcW w:type="dxa" w:w="3965"/>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Tỷ lệ ca hoàn tất đúng yêu cầu chọn tool và tham số.</w:t>
            </w:r>
          </w:p>
        </w:tc>
      </w:tr>
      <w:tr>
        <w:trPr>
          <w:cantSplit/>
        </w:trPr>
        <w:tc>
          <w:tcPr>
            <w:tcW w:type="dxa" w:w="3558"/>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Exact Call F1</w:t>
            </w:r>
          </w:p>
        </w:tc>
        <w:tc>
          <w:tcPr>
            <w:tcW w:type="dxa" w:w="2643"/>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95,08%</w:t>
            </w:r>
          </w:p>
        </w:tc>
        <w:tc>
          <w:tcPr>
            <w:tcW w:type="dxa" w:w="3965"/>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Cân bằng precision và recall của lời gọi tool đúng.</w:t>
            </w:r>
          </w:p>
        </w:tc>
      </w:tr>
      <w:tr>
        <w:trPr>
          <w:cantSplit/>
        </w:trPr>
        <w:tc>
          <w:tcPr>
            <w:tcW w:type="dxa" w:w="3558"/>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No Tool Accuracy</w:t>
            </w:r>
          </w:p>
        </w:tc>
        <w:tc>
          <w:tcPr>
            <w:tcW w:type="dxa" w:w="2643"/>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5/5 = 100%</w:t>
            </w:r>
          </w:p>
        </w:tc>
        <w:tc>
          <w:tcPr>
            <w:tcW w:type="dxa" w:w="3965"/>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Đúng trên năm ca không cần gọi tool.</w:t>
            </w:r>
          </w:p>
        </w:tc>
      </w:tr>
      <w:tr>
        <w:trPr>
          <w:cantSplit/>
        </w:trPr>
        <w:tc>
          <w:tcPr>
            <w:tcW w:type="dxa" w:w="3558"/>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Tool Set Exact Match</w:t>
            </w:r>
          </w:p>
        </w:tc>
        <w:tc>
          <w:tcPr>
            <w:tcW w:type="dxa" w:w="2643"/>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22/24 = 91,67%</w:t>
            </w:r>
          </w:p>
        </w:tc>
        <w:tc>
          <w:tcPr>
            <w:tcW w:type="dxa" w:w="3965"/>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Tập tên tool dự đoán khớp tập cần dùng.</w:t>
            </w:r>
          </w:p>
        </w:tc>
      </w:tr>
      <w:tr>
        <w:trPr>
          <w:cantSplit/>
        </w:trPr>
        <w:tc>
          <w:tcPr>
            <w:tcW w:type="dxa" w:w="3558"/>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Forbidden Tool Rate</w:t>
            </w:r>
          </w:p>
        </w:tc>
        <w:tc>
          <w:tcPr>
            <w:tcW w:type="dxa" w:w="2643"/>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0/24 = 0%</w:t>
            </w:r>
          </w:p>
        </w:tc>
        <w:tc>
          <w:tcPr>
            <w:tcW w:type="dxa" w:w="3965"/>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Không có ca gọi tool bị cấm trong lượt này.</w:t>
            </w:r>
          </w:p>
        </w:tc>
      </w:tr>
    </w:tbl>
    <w:p>
      <w:pPr>
        <w:spacing w:after="20" w:before="0" w:line="60" w:lineRule="exact"/>
      </w:pPr>
      <w:r>
        <w:rPr>
          <w:sz w:val="6"/>
        </w:rPr>
      </w:r>
    </w:p>
    <w:p>
      <w:pPr>
        <w:pStyle w:val="Heading2"/>
      </w:pPr>
      <w:r>
        <w:t>Điều đã làm được</w:t>
      </w:r>
    </w:p>
    <w:p>
      <w:r>
        <w:t>Bộ chấm phân biệt chọn sai nguồn, thiếu tool, gọi thừa, lặp lời gọi và sai tham số. Các ca nhiều tool kiểm khả năng phối hợp CTI, network và endpoint; các ca không tool kiểm khả năng dừng khi yêu cầu chỉ mang tính khái niệm hoặc thiếu căn cứ.</w:t>
      </w:r>
    </w:p>
    <w:p>
      <w:pPr>
        <w:pStyle w:val="Heading2"/>
      </w:pPr>
      <w:r>
        <w:t>Giới hạn của kết quả</w:t>
      </w:r>
    </w:p>
    <w:p>
      <w:r>
        <w:t>Đây là dữ liệu phát triển đã dùng để điều chỉnh hệ thống. Một phần gold đã được rà soát sau khi xem đầu ra ban đầu, nên điểm 91,67% không là bằng chứng holdout độc lập. Nó cũng không đo chất lượng thực thi công cụ, nhận định cuối hoặc điều tra nhiều lượt.</w:t>
      </w:r>
    </w:p>
    <w:p>
      <w:r>
        <w:t>Bộ 120 ca mở rộng được giữ riêng để tạo bằng chứng tốt hơn về khả năng khái quát. Trạng thái hiện tại là đã chuẩn bị và khóa bộ ca; chưa có điểm đầy đủ trên 120 ca. Khi có lượt chạy hợp lệ sẽ báo số đúng trên 120, khoảng tin cậy và các nhóm hành vi, không ghép với 22/24.</w:t>
      </w:r>
    </w:p>
    <w:p>
      <w:r>
        <w:br w:type="page"/>
      </w:r>
    </w:p>
    <w:p>
      <w:pPr>
        <w:pStyle w:val="Heading1"/>
      </w:pPr>
      <w:r>
        <w:t>7 R2 kết quả đã đo</w:t>
      </w:r>
    </w:p>
    <w:p>
      <w:pPr>
        <w:pStyle w:val="Heading2"/>
      </w:pPr>
      <w:r>
        <w:t>Kết quả phát triển CTU trước khi mở rộng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06"/>
        <w:gridCol w:w="3660"/>
      </w:tblGrid>
      <w:tr>
        <w:trPr>
          <w:cantSplit/>
          <w:tblHeader/>
        </w:trPr>
        <w:tc>
          <w:tcPr>
            <w:tcW w:type="dxa" w:w="6506"/>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Metric trên 8 câu CTU</w:t>
            </w:r>
          </w:p>
        </w:tc>
        <w:tc>
          <w:tcPr>
            <w:tcW w:type="dxa" w:w="3660"/>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Kết quả</w:t>
            </w:r>
          </w:p>
        </w:tc>
      </w:tr>
      <w:tr>
        <w:trPr>
          <w:cantSplit/>
        </w:trPr>
        <w:tc>
          <w:tcPr>
            <w:tcW w:type="dxa" w:w="6506"/>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Execution Accuracy</w:t>
            </w:r>
          </w:p>
        </w:tc>
        <w:tc>
          <w:tcPr>
            <w:tcW w:type="dxa" w:w="366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7/8 = 87,5%</w:t>
            </w:r>
          </w:p>
        </w:tc>
      </w:tr>
      <w:tr>
        <w:trPr>
          <w:cantSplit/>
        </w:trPr>
        <w:tc>
          <w:tcPr>
            <w:tcW w:type="dxa" w:w="6506"/>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Execution Success</w:t>
            </w:r>
          </w:p>
        </w:tc>
        <w:tc>
          <w:tcPr>
            <w:tcW w:type="dxa" w:w="3660"/>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7/8 = 87,5%</w:t>
            </w:r>
          </w:p>
        </w:tc>
      </w:tr>
      <w:tr>
        <w:trPr>
          <w:cantSplit/>
        </w:trPr>
        <w:tc>
          <w:tcPr>
            <w:tcW w:type="dxa" w:w="6506"/>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Syntax Validity</w:t>
            </w:r>
          </w:p>
        </w:tc>
        <w:tc>
          <w:tcPr>
            <w:tcW w:type="dxa" w:w="366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7/8 = 87,5%</w:t>
            </w:r>
          </w:p>
        </w:tc>
      </w:tr>
      <w:tr>
        <w:trPr>
          <w:cantSplit/>
        </w:trPr>
        <w:tc>
          <w:tcPr>
            <w:tcW w:type="dxa" w:w="6506"/>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Safety Rejection Rate</w:t>
            </w:r>
          </w:p>
        </w:tc>
        <w:tc>
          <w:tcPr>
            <w:tcW w:type="dxa" w:w="3660"/>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0/8 = 0%</w:t>
            </w:r>
          </w:p>
        </w:tc>
      </w:tr>
    </w:tbl>
    <w:p>
      <w:pPr>
        <w:spacing w:after="20" w:before="0" w:line="60" w:lineRule="exact"/>
      </w:pPr>
      <w:r>
        <w:rPr>
          <w:sz w:val="6"/>
        </w:rPr>
      </w:r>
    </w:p>
    <w:p>
      <w:r>
        <w:t>Một ca không hoàn tất trong giới hạn gọi công cụ và vẫn nằm trong mẫu số. Kết quả 87,5% thuộc tám câu phát triển CTU, không phải kết quả trên 96 câu evaluation. Không bị safety rejection chỉ nói rằng không quan sát từ chối trong lượt này; chưa chứng minh an toàn trên đầu vào độc hại.</w:t>
      </w:r>
    </w:p>
    <w:p>
      <w:pPr>
        <w:pStyle w:val="Heading2"/>
      </w:pPr>
      <w:r>
        <w:t>Calibration mở rộng trên cùng 24 câu mỗi cấu hình</w:t>
      </w:r>
    </w:p>
    <w:p>
      <w:r>
        <w:t>Cả hai cấu hình calibration dùng GPT-5 mini, reasoning mức low, tối đa 1.000 output token mỗi request và không retry. E0 sinh SQL trực tiếp; E3 dùng linker, công cụ DB và generator trong ngân sách lượt gọi đã giới hạn.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2"/>
        <w:gridCol w:w="2542"/>
        <w:gridCol w:w="2643"/>
        <w:gridCol w:w="1830"/>
      </w:tblGrid>
      <w:tr>
        <w:trPr>
          <w:cantSplit/>
          <w:tblHeader/>
        </w:trPr>
        <w:tc>
          <w:tcPr>
            <w:tcW w:type="dxa" w:w="3152"/>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Lượt calibration</w:t>
            </w:r>
          </w:p>
        </w:tc>
        <w:tc>
          <w:tcPr>
            <w:tcW w:type="dxa" w:w="2542"/>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EX E0</w:t>
            </w:r>
          </w:p>
        </w:tc>
        <w:tc>
          <w:tcPr>
            <w:tcW w:type="dxa" w:w="2643"/>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EX E3</w:t>
            </w:r>
          </w:p>
        </w:tc>
        <w:tc>
          <w:tcPr>
            <w:tcW w:type="dxa" w:w="1830"/>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Phản hồi</w:t>
            </w:r>
          </w:p>
        </w:tc>
      </w:tr>
      <w:tr>
        <w:trPr>
          <w:cantSplit/>
        </w:trPr>
        <w:tc>
          <w:tcPr>
            <w:tcW w:type="dxa" w:w="315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Lượt chọn cấu hình</w:t>
            </w:r>
          </w:p>
        </w:tc>
        <w:tc>
          <w:tcPr>
            <w:tcW w:type="dxa" w:w="2542"/>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15/24 = 62,5%</w:t>
            </w:r>
          </w:p>
        </w:tc>
        <w:tc>
          <w:tcPr>
            <w:tcW w:type="dxa" w:w="2643"/>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5/24 = 20,83%</w:t>
            </w:r>
          </w:p>
        </w:tc>
        <w:tc>
          <w:tcPr>
            <w:tcW w:type="dxa" w:w="1830"/>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139</w:t>
            </w:r>
          </w:p>
        </w:tc>
      </w:tr>
      <w:tr>
        <w:trPr>
          <w:cantSplit/>
        </w:trPr>
        <w:tc>
          <w:tcPr>
            <w:tcW w:type="dxa" w:w="3152"/>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Lượt tiếp theo</w:t>
            </w:r>
          </w:p>
        </w:tc>
        <w:tc>
          <w:tcPr>
            <w:tcW w:type="dxa" w:w="2542"/>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15/24 = 62,5%</w:t>
            </w:r>
          </w:p>
        </w:tc>
        <w:tc>
          <w:tcPr>
            <w:tcW w:type="dxa" w:w="2643"/>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4/24 = 16,67%</w:t>
            </w:r>
          </w:p>
        </w:tc>
        <w:tc>
          <w:tcPr>
            <w:tcW w:type="dxa" w:w="1830"/>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144</w:t>
            </w:r>
          </w:p>
        </w:tc>
      </w:tr>
    </w:tbl>
    <w:p>
      <w:pPr>
        <w:spacing w:after="20" w:before="0" w:line="60" w:lineRule="exact"/>
      </w:pPr>
      <w:r>
        <w:rPr>
          <w:sz w:val="6"/>
        </w:rPr>
      </w:r>
    </w:p>
    <w:p>
      <w:r>
        <w:t>Lượt chọn cấu hình có E0 chạy SQL thành công 23/24 và E3 5/24; chi phí lần lượt khoảng 0,01805 và 0,14953 USD. Quy tắc lựa chọn đã chọn E0. Lượt tiếp theo có E0 thực thi thành công 22/24, E3 5/24; tổng chi phí khoảng 0,17346 USD. Hai lượt được báo riêng, không lấy kết quả tốt nhất ghép thành một lượt.</w:t>
      </w:r>
    </w:p>
    <w:p>
      <w:r>
        <w:t>Execution Success cho biết truy vấn chạy được; Execution Accuracy còn yêu cầu kết quả đúng gold. Ở lượt chọn cấu hình, E0 có tám truy vấn chạy được nhưng trả kết quả khác đáp án. E3 thường dừng trước SQL cuối vì lỗi liên kết schema, đầu ra không hợp lệ hoặc truy vấn thử thất bại.</w:t>
      </w:r>
    </w:p>
    <w:p>
      <w:r>
        <w:t>Chưa có kết quả đầy đủ 192 record để công bố EX trên evaluation 96 câu. Kiểm ngữ nghĩa bằng các bộ dữ liệu phản ví dụ cũng chưa được đo cho các lượt calibration này; giá trị mặc định trong báo cáo tự động không được coi là kết quả thực nghiệm.</w:t>
      </w:r>
    </w:p>
    <w:p>
      <w:r>
        <w:br w:type="page"/>
      </w:r>
    </w:p>
    <w:p>
      <w:pPr>
        <w:pStyle w:val="Heading1"/>
      </w:pPr>
      <w:r>
        <w:t>8 Luồng đầu cuối và kết quả demo</w:t>
      </w:r>
    </w:p>
    <w:p>
      <w:pPr>
        <w:pStyle w:val="Heading2"/>
      </w:pPr>
      <w:r>
        <w:t>Một câu hỏi đi qua hệ thống như thế nào</w:t>
      </w:r>
    </w:p>
    <w:p>
      <w:r>
        <w:t>Người dùng hỏi số IP đích nhận TCP flow trong cả hai scenario CTU sau hai mốc thời gian riêng. Bộ điều phối giữ nguyên câu hỏi khi gọi network_query. Dịch vụ R2 tạo truy vấn, worker chạy trên snapshot được cấp và trả bảng kết quả. Kho dẫn chứng lưu kết quả cùng nguồn; assessment diễn giải con số và nêu giới hạn trước khi đưa cho người phân tích review.</w:t>
      </w:r>
    </w:p>
    <w:p>
      <w:r>
        <w:t>Ở demo COUNT, kết quả là 459 IP. Kiểm thực thi, so sánh đáp án và dẫn chứng đạt; hồ sơ còn chờ người duyệt. Con số 459 mô tả dữ liệu thỏa điều kiện truy vấn, không có nghĩa 459 IP độc hại hoặc có liên quan C2.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3"/>
        <w:gridCol w:w="5287"/>
        <w:gridCol w:w="2237"/>
      </w:tblGrid>
      <w:tr>
        <w:trPr>
          <w:cantSplit/>
          <w:tblHeader/>
        </w:trPr>
        <w:tc>
          <w:tcPr>
            <w:tcW w:type="dxa" w:w="2643"/>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Tình huống</w:t>
            </w:r>
          </w:p>
        </w:tc>
        <w:tc>
          <w:tcPr>
            <w:tcW w:type="dxa" w:w="5287"/>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Kết quả quan sát</w:t>
            </w:r>
          </w:p>
        </w:tc>
        <w:tc>
          <w:tcPr>
            <w:tcW w:type="dxa" w:w="2237"/>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Trạng thái</w:t>
            </w:r>
          </w:p>
        </w:tc>
      </w:tr>
      <w:tr>
        <w:trPr>
          <w:cantSplit/>
        </w:trPr>
        <w:tc>
          <w:tcPr>
            <w:tcW w:type="dxa" w:w="264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COUNT IP chung</w:t>
            </w:r>
          </w:p>
        </w:tc>
        <w:tc>
          <w:tcPr>
            <w:tcW w:type="dxa" w:w="528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459 IP, kết quả khớp đáp án và có dẫn chứng.</w:t>
            </w:r>
          </w:p>
        </w:tc>
        <w:tc>
          <w:tcPr>
            <w:tcW w:type="dxa" w:w="2237"/>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Chờ duyệt</w:t>
            </w:r>
          </w:p>
        </w:tc>
      </w:tr>
      <w:tr>
        <w:trPr>
          <w:cantSplit/>
        </w:trPr>
        <w:tc>
          <w:tcPr>
            <w:tcW w:type="dxa" w:w="264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AVG theo giao thức</w:t>
            </w:r>
          </w:p>
        </w:tc>
        <w:tc>
          <w:tcPr>
            <w:tcW w:type="dxa" w:w="528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TCP, một lượt đã đạt kiểm kỹ thuật.</w:t>
            </w:r>
          </w:p>
        </w:tc>
        <w:tc>
          <w:tcPr>
            <w:tcW w:type="dxa" w:w="2237"/>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Chờ duyệt</w:t>
            </w:r>
          </w:p>
        </w:tc>
      </w:tr>
      <w:tr>
        <w:trPr>
          <w:cantSplit/>
        </w:trPr>
        <w:tc>
          <w:tcPr>
            <w:tcW w:type="dxa" w:w="264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Đếm khi byte là NULL</w:t>
            </w:r>
          </w:p>
        </w:tc>
        <w:tc>
          <w:tcPr>
            <w:tcW w:type="dxa" w:w="5287"/>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Mô hình làm mất các nhóm có số đếm bằng 0.</w:t>
            </w:r>
          </w:p>
        </w:tc>
        <w:tc>
          <w:tcPr>
            <w:tcW w:type="dxa" w:w="2237"/>
            <w:vAlign w:val="center"/>
            <w:tcMar>
              <w:top w:w="80" w:type="dxa"/>
              <w:bottom w:w="80" w:type="dxa"/>
              <w:left w:w="105" w:type="dxa"/>
              <w:right w:w="105" w:type="dxa"/>
            </w:tcMar>
            <w:shd w:fill="F3F6F8"/>
          </w:tcPr>
          <w:p>
            <w:pPr>
              <w:keepNext w:val="0"/>
              <w:spacing w:after="20" w:line="250" w:lineRule="auto"/>
              <w:jc w:val="center"/>
            </w:pPr>
            <w:r>
              <w:rPr>
                <w:rFonts w:ascii="DejaVu Sans" w:hAnsi="DejaVu Sans"/>
                <w:b w:val="0"/>
                <w:color w:val="000000"/>
                <w:sz w:val="20"/>
              </w:rPr>
              <w:t>Sai kết quả</w:t>
            </w:r>
          </w:p>
        </w:tc>
      </w:tr>
      <w:tr>
        <w:trPr>
          <w:cantSplit/>
        </w:trPr>
        <w:tc>
          <w:tcPr>
            <w:tcW w:type="dxa" w:w="264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UDP chỉ có ở S5</w:t>
            </w:r>
          </w:p>
        </w:tc>
        <w:tc>
          <w:tcPr>
            <w:tcW w:type="dxa" w:w="5287"/>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Giữ được 9.780 hàng; dữ liệu vượt giới hạn đưa vào assessment.</w:t>
            </w:r>
          </w:p>
        </w:tc>
        <w:tc>
          <w:tcPr>
            <w:tcW w:type="dxa" w:w="2237"/>
            <w:vAlign w:val="center"/>
            <w:tcMar>
              <w:top w:w="80" w:type="dxa"/>
              <w:bottom w:w="80" w:type="dxa"/>
              <w:left w:w="105" w:type="dxa"/>
              <w:right w:w="105" w:type="dxa"/>
            </w:tcMar>
            <w:shd w:fill="FFFFFF"/>
          </w:tcPr>
          <w:p>
            <w:pPr>
              <w:keepNext w:val="0"/>
              <w:spacing w:after="20" w:line="250" w:lineRule="auto"/>
              <w:jc w:val="center"/>
            </w:pPr>
            <w:r>
              <w:rPr>
                <w:rFonts w:ascii="DejaVu Sans" w:hAnsi="DejaVu Sans"/>
                <w:b w:val="0"/>
                <w:color w:val="000000"/>
                <w:sz w:val="20"/>
              </w:rPr>
              <w:t>Chưa hoàn tất</w:t>
            </w:r>
          </w:p>
        </w:tc>
      </w:tr>
    </w:tbl>
    <w:p>
      <w:pPr>
        <w:spacing w:after="20" w:before="0" w:line="60" w:lineRule="exact"/>
      </w:pPr>
      <w:r>
        <w:rPr>
          <w:sz w:val="6"/>
        </w:rPr>
      </w:r>
    </w:p>
    <w:p>
      <w:r>
        <w:t>Bốn demo cho thấy hai ca đạt kiểm kỹ thuật, một ca sai và một ca dừng trước assessment. Một lượt AVG khác cũng gặp lỗi truy vấn thử, cho thấy thành công ở một lần chưa chứng minh ổn định. Các demo không thay kết quả benchmark 96 câu hoặc phép đo pipeline 32 câu.</w:t>
      </w:r>
    </w:p>
    <w:p>
      <w:pPr>
        <w:pStyle w:val="Heading2"/>
      </w:pPr>
      <w:r>
        <w:t>Luồng cảnh báo ngoài Text-to-SQL</w:t>
      </w:r>
    </w:p>
    <w:p>
      <w:r>
        <w:t>Hệ thống cũng đã chạy một ca SOC traces bằng API thật: mô hình gọi tìm sự kiện và lấy ngữ cảnh; các công cụ trả không khớp hoặc không có dữ liệu. Báo cáo cuối giữ kết luận chưa đủ bằng chứng, thay vì suy ra benign. Nguồn này là dữ liệu tổng hợp; demo không được trình bày như một sự cố sản xuất thật hay một benchmark C2 đã hoàn tất.</w:t>
      </w:r>
    </w:p>
    <w:p>
      <w:r>
        <w:br w:type="page"/>
      </w:r>
    </w:p>
    <w:p>
      <w:pPr>
        <w:pStyle w:val="Heading1"/>
      </w:pPr>
      <w:r>
        <w:t>9 Đánh giá và công việc tiếp theo</w:t>
      </w:r>
    </w:p>
    <w:p>
      <w:pPr>
        <w:pStyle w:val="Heading2"/>
      </w:pPr>
      <w:r>
        <w:t>Những phần đã hình thành</w:t>
      </w:r>
    </w:p>
    <w:p>
      <w:r>
        <w:t>VinSOC đã kết nối quyết định gọi công cụ với thu thập dữ liệu, Text-to-SQL, kết quả truy vấn, dẫn chứng, nhận định và review. Các lỗi được giữ lại theo đúng bước phát sinh, giúp phân biệt lỗi lựa chọn nguồn, lỗi sinh SQL, lỗi giới hạn dữ liệu và thiếu thông tin điều tra.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2"/>
        <w:gridCol w:w="4372"/>
        <w:gridCol w:w="3253"/>
      </w:tblGrid>
      <w:tr>
        <w:trPr>
          <w:cantSplit/>
          <w:tblHeader/>
        </w:trPr>
        <w:tc>
          <w:tcPr>
            <w:tcW w:type="dxa" w:w="2542"/>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Ưu tiên</w:t>
            </w:r>
          </w:p>
        </w:tc>
        <w:tc>
          <w:tcPr>
            <w:tcW w:type="dxa" w:w="4372"/>
            <w:vAlign w:val="center"/>
            <w:tcMar>
              <w:top w:w="80" w:type="dxa"/>
              <w:bottom w:w="80" w:type="dxa"/>
              <w:left w:w="105" w:type="dxa"/>
              <w:right w:w="105" w:type="dxa"/>
            </w:tcMar>
            <w:shd w:fill="233C51"/>
          </w:tcPr>
          <w:p>
            <w:pPr>
              <w:keepNext/>
              <w:spacing w:after="20" w:line="250" w:lineRule="auto"/>
            </w:pPr>
            <w:r>
              <w:rPr>
                <w:rFonts w:ascii="DejaVu Sans" w:hAnsi="DejaVu Sans"/>
                <w:b/>
                <w:color w:val="FFFFFF"/>
                <w:sz w:val="20"/>
              </w:rPr>
              <w:t>Công việc cần hoàn thiện</w:t>
            </w:r>
          </w:p>
        </w:tc>
        <w:tc>
          <w:tcPr>
            <w:tcW w:type="dxa" w:w="3253"/>
            <w:vAlign w:val="center"/>
            <w:tcMar>
              <w:top w:w="80" w:type="dxa"/>
              <w:bottom w:w="80" w:type="dxa"/>
              <w:left w:w="105" w:type="dxa"/>
              <w:right w:w="105" w:type="dxa"/>
            </w:tcMar>
            <w:shd w:fill="233C51"/>
          </w:tcPr>
          <w:p>
            <w:pPr>
              <w:keepNext/>
              <w:spacing w:after="20" w:line="250" w:lineRule="auto"/>
              <w:jc w:val="center"/>
            </w:pPr>
            <w:r>
              <w:rPr>
                <w:rFonts w:ascii="DejaVu Sans" w:hAnsi="DejaVu Sans"/>
                <w:b/>
                <w:color w:val="FFFFFF"/>
                <w:sz w:val="20"/>
              </w:rPr>
              <w:t>Điều kiện đánh giá</w:t>
            </w:r>
          </w:p>
        </w:tc>
      </w:tr>
      <w:tr>
        <w:trPr>
          <w:cantSplit/>
        </w:trPr>
        <w:tc>
          <w:tcPr>
            <w:tcW w:type="dxa" w:w="254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Triage sau enrichment</w:t>
            </w:r>
          </w:p>
        </w:tc>
        <w:tc>
          <w:tcPr>
            <w:tcW w:type="dxa" w:w="437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Tách sàng lọc ban đầu khỏi kết luận; không đóng benign khi chưa có bằng chứng phù hợp.</w:t>
            </w:r>
          </w:p>
        </w:tc>
        <w:tc>
          <w:tcPr>
            <w:tcW w:type="dxa" w:w="325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Theo dõi CTI, flow, endpoint và lý do quyết định cuối.</w:t>
            </w:r>
          </w:p>
        </w:tc>
      </w:tr>
      <w:tr>
        <w:trPr>
          <w:cantSplit/>
        </w:trPr>
        <w:tc>
          <w:tcPr>
            <w:tcW w:type="dxa" w:w="2542"/>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R1 mở rộng</w:t>
            </w:r>
          </w:p>
        </w:tc>
        <w:tc>
          <w:tcPr>
            <w:tcW w:type="dxa" w:w="4372"/>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Hoàn thiện gate chạy, thống kê và workflow; chạy đúng một suite được cấp quyền.</w:t>
            </w:r>
          </w:p>
        </w:tc>
        <w:tc>
          <w:tcPr>
            <w:tcW w:type="dxa" w:w="325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Đủ 120 ca, báo điểm và khoảng tin cậy theo nhóm.</w:t>
            </w:r>
          </w:p>
        </w:tc>
      </w:tr>
      <w:tr>
        <w:trPr>
          <w:cantSplit/>
        </w:trPr>
        <w:tc>
          <w:tcPr>
            <w:tcW w:type="dxa" w:w="254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R2 đa lĩnh vực</w:t>
            </w:r>
          </w:p>
        </w:tc>
        <w:tc>
          <w:tcPr>
            <w:tcW w:type="dxa" w:w="437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Chạy đủ 96 câu với E0/E3, kiểm hồ sơ và giữ đúng phạm vi lựa chọn cấu hình.</w:t>
            </w:r>
          </w:p>
        </w:tc>
        <w:tc>
          <w:tcPr>
            <w:tcW w:type="dxa" w:w="325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Đủ 192 record, tách ngoài SOC 64 và CTU 32.</w:t>
            </w:r>
          </w:p>
        </w:tc>
      </w:tr>
      <w:tr>
        <w:trPr>
          <w:cantSplit/>
        </w:trPr>
        <w:tc>
          <w:tcPr>
            <w:tcW w:type="dxa" w:w="2542"/>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R2 linker và assessment</w:t>
            </w:r>
          </w:p>
        </w:tc>
        <w:tc>
          <w:tcPr>
            <w:tcW w:type="dxa" w:w="4372"/>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Cải thiện đầu ra có cấu trúc, dẫn chứng giá trị và xử lý kết quả dài.</w:t>
            </w:r>
          </w:p>
        </w:tc>
        <w:tc>
          <w:tcPr>
            <w:tcW w:type="dxa" w:w="3253"/>
            <w:vAlign w:val="center"/>
            <w:tcMar>
              <w:top w:w="80" w:type="dxa"/>
              <w:bottom w:w="80" w:type="dxa"/>
              <w:left w:w="105" w:type="dxa"/>
              <w:right w:w="105" w:type="dxa"/>
            </w:tcMar>
            <w:shd w:fill="FFFFFF"/>
          </w:tcPr>
          <w:p>
            <w:pPr>
              <w:keepNext w:val="0"/>
              <w:spacing w:after="20" w:line="250" w:lineRule="auto"/>
            </w:pPr>
            <w:r>
              <w:rPr>
                <w:rFonts w:ascii="DejaVu Sans" w:hAnsi="DejaVu Sans"/>
                <w:b w:val="0"/>
                <w:color w:val="000000"/>
                <w:sz w:val="20"/>
              </w:rPr>
              <w:t>Đo lại theo phiên bản mới; không thay kết quả đã lưu.</w:t>
            </w:r>
          </w:p>
        </w:tc>
      </w:tr>
      <w:tr>
        <w:trPr>
          <w:cantSplit/>
        </w:trPr>
        <w:tc>
          <w:tcPr>
            <w:tcW w:type="dxa" w:w="254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Review đầu cuối</w:t>
            </w:r>
          </w:p>
        </w:tc>
        <w:tc>
          <w:tcPr>
            <w:tcW w:type="dxa" w:w="4372"/>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Bổ sung quyết định, lý do và người chịu trách nhiệm cho hồ sơ hợp lệ.</w:t>
            </w:r>
          </w:p>
        </w:tc>
        <w:tc>
          <w:tcPr>
            <w:tcW w:type="dxa" w:w="3253"/>
            <w:vAlign w:val="center"/>
            <w:tcMar>
              <w:top w:w="80" w:type="dxa"/>
              <w:bottom w:w="80" w:type="dxa"/>
              <w:left w:w="105" w:type="dxa"/>
              <w:right w:w="105" w:type="dxa"/>
            </w:tcMar>
            <w:shd w:fill="F3F6F8"/>
          </w:tcPr>
          <w:p>
            <w:pPr>
              <w:keepNext w:val="0"/>
              <w:spacing w:after="20" w:line="250" w:lineRule="auto"/>
            </w:pPr>
            <w:r>
              <w:rPr>
                <w:rFonts w:ascii="DejaVu Sans" w:hAnsi="DejaVu Sans"/>
                <w:b w:val="0"/>
                <w:color w:val="000000"/>
                <w:sz w:val="20"/>
              </w:rPr>
              <w:t>Phân biệt đạt kỹ thuật với được người phân tích duyệt.</w:t>
            </w:r>
          </w:p>
        </w:tc>
      </w:tr>
    </w:tbl>
    <w:p>
      <w:pPr>
        <w:spacing w:after="20" w:before="0" w:line="60" w:lineRule="exact"/>
      </w:pPr>
      <w:r>
        <w:rPr>
          <w:sz w:val="6"/>
        </w:rPr>
      </w:r>
    </w:p>
    <w:p>
      <w:pPr>
        <w:pStyle w:val="Heading2"/>
      </w:pPr>
      <w:r>
        <w:t>Kết luận</w:t>
      </w:r>
    </w:p>
    <w:p>
      <w:r>
        <w:t>Kết quả hiện tại chứng minh khả năng tích hợp và tạo hồ sơ có thể kiểm tra lại. Những điểm mạnh đã đo là R1 đạt 22/24 trên bộ phát triển và R2 từng đạt 7/8 trên CTU. Calibration đa lĩnh vực cho thấy cấu hình nhiều bước chưa ổn định và cần cải thiện trước khi kết luận về khả năng khái quát.</w:t>
      </w:r>
    </w:p>
    <w:p>
      <w:r>
        <w:t>Trọng tâm tiếp theo là triage dựa trên bằng chứng sau enrichment, hoàn tất đánh giá R1 trên 120 ca và R2 trên 96 câu, đồng thời đo riêng thành công đầu cuối. Quy mô bộ đo, số ca thực sự đã chạy và điểm đạt phải tiếp tục được trình bày tách biệt.</w:t>
      </w:r>
    </w:p>
    <w:p>
      <w:pPr>
        <w:pStyle w:val="Heading2"/>
      </w:pPr>
      <w:r>
        <w:t>Tài liệu và dữ liệu đối chiếu</w:t>
      </w:r>
    </w:p>
    <w:p>
      <w:r>
        <w:t>Tài liệu chức năng và kết quả thực nghiệm VinSOC; CTU-13 của Stratosphere IPS; Spider của Yale LILY; ThreatFox, MalwareBazaar và URLhaus của abuse.ch; MITRE ATT&amp;CK. Phần benchmark ngoài SOC sử dụng subset được thích nghi, không là kết quả chính thức trên toàn bộ Spider.</w:t>
      </w:r>
    </w:p>
    <w:sectPr w:rsidR="00FC693F" w:rsidRPr="0006063C" w:rsidSect="00034616">
      <w:footerReference w:type="default" r:id="rId9"/>
      <w:pgSz w:w="12240" w:h="15840"/>
      <w:pgMar w:top="979" w:right="1037" w:bottom="979"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DejaVu Sans" w:hAnsi="DejaVu Sans"/>
        <w:sz w:val="16"/>
      </w:rPr>
      <w:t xml:space="preserve">VinSOC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7" w:lineRule="auto" w:after="140"/>
    </w:pPr>
    <w:rPr>
      <w:rFonts w:ascii="DejaVu Sans" w:hAnsi="DejaVu Sans" w:eastAsia="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60"/>
      <w:outlineLvl w:val="0"/>
    </w:pPr>
    <w:rPr>
      <w:rFonts w:asciiTheme="majorHAnsi" w:eastAsiaTheme="majorEastAsia" w:hAnsiTheme="majorHAnsi" w:cstheme="majorBidi" w:ascii="DejaVu Sans" w:hAnsi="DejaVu Sans" w:eastAsia="DejaVu Sans"/>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DejaVu Sans" w:hAnsi="DejaVu Sans" w:eastAsia="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DejaVu Sans" w:hAnsi="DejaVu Sans" w:eastAsia="DejaVu Sans"/>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ejaVu Sans" w:hAnsi="DejaVu Sans" w:eastAsia="DejaVu Sans"/>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hệ thống VinSOC</dc:title>
  <dc:subject>Công việc đã thực hiện và kết quả thực nghiệm</dc:subject>
  <dc:creator>VinSOC</dc:creator>
  <cp:keywords>VinSOC, R1, R2, điều tra SOC</cp:keywords>
  <dc:description/>
  <cp:lastModifiedBy/>
  <cp:revision>1</cp:revision>
  <dcterms:created xsi:type="dcterms:W3CDTF">2013-12-23T23:15:00Z</dcterms:created>
  <dcterms:modified xsi:type="dcterms:W3CDTF">2013-12-23T23:15:00Z</dcterms:modified>
  <cp:category/>
</cp:coreProperties>
</file>