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40"/>
        <w:jc w:val="left"/>
      </w:pPr>
      <w:r>
        <w:rPr>
          <w:b/>
          <w:bCs/>
          <w:color w:val="222222"/>
          <w:sz w:val="60"/>
          <w:szCs w:val="60"/>
        </w:rPr>
        <w:t xml:space="preserve">Billing</w:t>
      </w:r>
    </w:p>
    <w:p>
      <w:pPr>
        <w:spacing w:after="30"/>
      </w:pPr>
      <w:r>
        <w:rPr>
          <w:color w:val="666666"/>
          <w:sz w:val="26"/>
          <w:szCs w:val="26"/>
        </w:rPr>
        <w:t xml:space="preserve">A review of what is built, what works, and what is still missing</w:t>
      </w:r>
    </w:p>
    <w:p>
      <w:pPr>
        <w:pBdr>
          <w:bottom w:val="single" w:color="1A3A5C" w:sz="10"/>
        </w:pBdr>
        <w:spacing w:after="260"/>
      </w:pPr>
    </w:p>
    <w:p>
      <w:pPr>
        <w:spacing w:after="20"/>
      </w:pPr>
      <w:r>
        <w:rPr>
          <w:color w:val="333333"/>
          <w:sz w:val="22"/>
          <w:szCs w:val="22"/>
        </w:rPr>
        <w:t xml:space="preserve">My Country Mobile — unified.mycountrymobile.com</w:t>
      </w:r>
    </w:p>
    <w:p>
      <w:pPr>
        <w:spacing w:after="20"/>
      </w:pPr>
      <w:r>
        <w:rPr>
          <w:color w:val="333333"/>
          <w:sz w:val="21"/>
          <w:szCs w:val="21"/>
        </w:rPr>
        <w:t xml:space="preserve">Covers the Billing area of the admin console, the signup and renewal payment flow, and the way billing surfaces inside the phone app.</w:t>
      </w:r>
    </w:p>
    <w:p>
      <w:r>
        <w:rPr>
          <w:color w:val="333333"/>
          <w:sz w:val="21"/>
          <w:szCs w:val="21"/>
        </w:rPr>
        <w:t xml:space="preserve">Prepared 3 September 2026 from a full read of the source in /root/mycountrymobile-web.</w:t>
      </w:r>
    </w:p>
    <w:p>
      <w:r>
        <w:br w:type="page"/>
      </w:r>
    </w:p>
    <w:p>
      <w:pPr>
        <w:pStyle w:val="Heading1"/>
        <w:spacing w:after="120" w:before="30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00"/>
      </w:pPr>
      <w:r>
        <w:t xml:space="preserve">Where things stand</w:t>
      </w:r>
    </w:p>
    <w:p>
      <w:pPr>
        <w:spacing w:after="160" w:line="300"/>
        <w:jc w:val="both"/>
      </w:pPr>
      <w:r>
        <w:t xml:space="preserve">Billing is one of the more finished parts of the product. It is a working Stripe integration rather than a mock-up, and it already handles the whole path a customer takes with money: choosing a plan when they sign up, paying for it (including the extra bank verification step that some cards require), topping up a credit balance, keeping cards on file, buying and giving back user seats and storage, moving between plans, and looking back over invoices, usage and a running statement. Very little of this is stubbed. Most of what an administrator would reach for on a normal day is present and wired to real endpoints.</w:t>
      </w:r>
    </w:p>
    <w:p>
      <w:pPr>
        <w:spacing w:after="160" w:line="300"/>
        <w:jc w:val="both"/>
      </w:pPr>
      <w:r>
        <w:t xml:space="preserve">One decision shows up again and again in the code, and it is worth calling out because it is unusual in a good way. Wherever the app is not certain of a price or a figure, it prints </w:t>
      </w:r>
      <w:r>
        <w:rPr>
          <w:i/>
          <w:iCs/>
        </w:rPr>
        <w:t xml:space="preserve">Not available yet</w:t>
      </w:r>
      <w:r>
        <w:t xml:space="preserve"> instead of guessing at a zero. The reasoning, in the developers’ own words, is that “free is the one wrong price nobody questions before they click.” A screen that shows a blank rather than a made-up number is one an admin can trust, and that habit runs through the whole area.</w:t>
      </w:r>
    </w:p>
    <w:p>
      <w:pPr>
        <w:spacing w:after="160" w:line="300"/>
        <w:jc w:val="both"/>
      </w:pPr>
      <w:r>
        <w:t xml:space="preserve">What is genuinely unfinished is a short list, and the app is honest about each item on screen: there is no proper downloadable PDF invoice yet, add-ons cannot be bought from inside the product, cost-centre codes can be saved but nothing yet splits spending by them, and a handful of services show an allowance without yet counting what has been used against it. None of these are broken; they are simply not connected yet, and the interface says so where it matters.</w:t>
      </w:r>
    </w:p>
    <w:p>
      <w:pPr>
        <w:pStyle w:val="Heading1"/>
        <w:spacing w:after="120" w:before="300"/>
      </w:pPr>
      <w:r>
        <w:t xml:space="preserve">How the area is laid out</w:t>
      </w:r>
    </w:p>
    <w:p>
      <w:pPr>
        <w:spacing w:after="160" w:line="300"/>
        <w:jc w:val="both"/>
      </w:pPr>
      <w:r>
        <w:t xml:space="preserve">Everything lives under </w:t>
      </w:r>
      <w:r>
        <w:rPr>
          <w:rFonts w:ascii="Consolas" w:cs="Consolas" w:eastAsia="Consolas" w:hAnsi="Consolas"/>
          <w:sz w:val="19"/>
          <w:szCs w:val="19"/>
        </w:rPr>
        <w:t xml:space="preserve">/admin-settings/billing</w:t>
      </w:r>
      <w:r>
        <w:t xml:space="preserve"> and is restricted to administrators on purpose. The team deliberately moved billing off the same permission flag that governs call handling, on the reasoning that whether a company bought the calling module has nothing to do with who is allowed to see its invoices. Who may look at the money is treated as an administrator question, and that is the check that guards these pages.</w:t>
      </w:r>
    </w:p>
    <w:p>
      <w:pPr>
        <w:spacing w:after="160" w:line="300"/>
        <w:jc w:val="both"/>
      </w:pPr>
      <w:r>
        <w:t xml:space="preserve">The menu and the routing both read from one list, so a page cannot show up in the sidebar and then fail to open, or exist without a way to reach it. There are ten sections in that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4"/>
              <w:left w:val="single" w:color="CCCCCC" w:sz="4"/>
              <w:bottom w:val="single" w:color="CCCCCC" w:sz="4"/>
              <w:right w:val="single" w:color="CCCCCC" w:sz="4"/>
            </w:tcBorders>
            <w:shd w:fill="1A3A5C" w:color="auto" w:val="clear"/>
            <w:tcMar>
              <w:top w:type="dxa" w:w="60"/>
              <w:left w:type="dxa" w:w="100"/>
              <w:bottom w:type="dxa" w:w="60"/>
              <w:right w:type="dxa" w:w="100"/>
            </w:tcMar>
          </w:tcPr>
          <w:p>
            <w:pPr>
              <w:spacing w:after="0" w:line="250"/>
            </w:pPr>
            <w:r>
              <w:rPr>
                <w:b/>
                <w:bCs/>
                <w:color w:val="FFFFFF"/>
                <w:sz w:val="19"/>
                <w:szCs w:val="19"/>
              </w:rPr>
              <w:t xml:space="preserve">Section</w:t>
            </w:r>
          </w:p>
        </w:tc>
        <w:tc>
          <w:tcPr>
            <w:tcW w:type="dxa" w:w="6860"/>
            <w:tcBorders>
              <w:top w:val="single" w:color="CCCCCC" w:sz="4"/>
              <w:left w:val="single" w:color="CCCCCC" w:sz="4"/>
              <w:bottom w:val="single" w:color="CCCCCC" w:sz="4"/>
              <w:right w:val="single" w:color="CCCCCC" w:sz="4"/>
            </w:tcBorders>
            <w:shd w:fill="1A3A5C" w:color="auto" w:val="clear"/>
            <w:tcMar>
              <w:top w:type="dxa" w:w="60"/>
              <w:left w:type="dxa" w:w="100"/>
              <w:bottom w:type="dxa" w:w="60"/>
              <w:right w:type="dxa" w:w="100"/>
            </w:tcMar>
          </w:tcPr>
          <w:p>
            <w:pPr>
              <w:spacing w:after="0" w:line="250"/>
            </w:pPr>
            <w:r>
              <w:rPr>
                <w:b/>
                <w:bCs/>
                <w:color w:val="FFFFFF"/>
                <w:sz w:val="19"/>
                <w:szCs w:val="19"/>
              </w:rPr>
              <w:t xml:space="preserve">What it is for</w:t>
            </w:r>
          </w:p>
        </w:tc>
      </w:tr>
      <w:tr>
        <w:tc>
          <w:tcPr>
            <w:tcW w:type="dxa" w:w="250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tcPr>
          <w:p>
            <w:pPr>
              <w:spacing w:after="0" w:line="250"/>
            </w:pPr>
            <w:r>
              <w:rPr>
                <w:color w:val="222222"/>
                <w:sz w:val="19"/>
                <w:szCs w:val="19"/>
              </w:rPr>
              <w:t xml:space="preserve">Summary</w:t>
            </w:r>
          </w:p>
        </w:tc>
        <w:tc>
          <w:tcPr>
            <w:tcW w:type="dxa" w:w="686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tcPr>
          <w:p>
            <w:pPr>
              <w:spacing w:after="0" w:line="250"/>
            </w:pPr>
            <w:r>
              <w:rPr>
                <w:color w:val="222222"/>
                <w:sz w:val="19"/>
                <w:szCs w:val="19"/>
              </w:rPr>
              <w:t xml:space="preserve">The landing page: what you pay, when the next bill is, the balance, recent invoices, and any alert.</w:t>
            </w:r>
          </w:p>
        </w:tc>
      </w:tr>
      <w:tr>
        <w:tc>
          <w:tcPr>
            <w:tcW w:type="dxa" w:w="2500"/>
            <w:tcBorders>
              <w:top w:val="single" w:color="CCCCCC" w:sz="4"/>
              <w:left w:val="single" w:color="CCCCCC" w:sz="4"/>
              <w:bottom w:val="single" w:color="CCCCCC" w:sz="4"/>
              <w:right w:val="single" w:color="CCCCCC" w:sz="4"/>
            </w:tcBorders>
            <w:shd w:fill="F2F5F8" w:color="auto" w:val="clear"/>
            <w:tcMar>
              <w:top w:type="dxa" w:w="60"/>
              <w:left w:type="dxa" w:w="100"/>
              <w:bottom w:type="dxa" w:w="60"/>
              <w:right w:type="dxa" w:w="100"/>
            </w:tcMar>
          </w:tcPr>
          <w:p>
            <w:pPr>
              <w:spacing w:after="0" w:line="250"/>
            </w:pPr>
            <w:r>
              <w:rPr>
                <w:color w:val="222222"/>
                <w:sz w:val="19"/>
                <w:szCs w:val="19"/>
              </w:rPr>
              <w:t xml:space="preserve">Usage</w:t>
            </w:r>
          </w:p>
        </w:tc>
        <w:tc>
          <w:tcPr>
            <w:tcW w:type="dxa" w:w="6860"/>
            <w:tcBorders>
              <w:top w:val="single" w:color="CCCCCC" w:sz="4"/>
              <w:left w:val="single" w:color="CCCCCC" w:sz="4"/>
              <w:bottom w:val="single" w:color="CCCCCC" w:sz="4"/>
              <w:right w:val="single" w:color="CCCCCC" w:sz="4"/>
            </w:tcBorders>
            <w:shd w:fill="F2F5F8" w:color="auto" w:val="clear"/>
            <w:tcMar>
              <w:top w:type="dxa" w:w="60"/>
              <w:left w:type="dxa" w:w="100"/>
              <w:bottom w:type="dxa" w:w="60"/>
              <w:right w:type="dxa" w:w="100"/>
            </w:tcMar>
          </w:tcPr>
          <w:p>
            <w:pPr>
              <w:spacing w:after="0" w:line="250"/>
            </w:pPr>
            <w:r>
              <w:rPr>
                <w:color w:val="222222"/>
                <w:sz w:val="19"/>
                <w:szCs w:val="19"/>
              </w:rPr>
              <w:t xml:space="preserve">What the plan includes against what has been consumed, and where the spend went.</w:t>
            </w:r>
          </w:p>
        </w:tc>
      </w:tr>
      <w:tr>
        <w:tc>
          <w:tcPr>
            <w:tcW w:type="dxa" w:w="250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tcPr>
          <w:p>
            <w:pPr>
              <w:spacing w:after="0" w:line="250"/>
            </w:pPr>
            <w:r>
              <w:rPr>
                <w:color w:val="222222"/>
                <w:sz w:val="19"/>
                <w:szCs w:val="19"/>
              </w:rPr>
              <w:t xml:space="preserve">Plan</w:t>
            </w:r>
          </w:p>
        </w:tc>
        <w:tc>
          <w:tcPr>
            <w:tcW w:type="dxa" w:w="686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tcPr>
          <w:p>
            <w:pPr>
              <w:spacing w:after="0" w:line="250"/>
            </w:pPr>
            <w:r>
              <w:rPr>
                <w:color w:val="222222"/>
                <w:sz w:val="19"/>
                <w:szCs w:val="19"/>
              </w:rPr>
              <w:t xml:space="preserve">The current plan, and changing, renewing or cancelling it.</w:t>
            </w:r>
          </w:p>
        </w:tc>
      </w:tr>
      <w:tr>
        <w:tc>
          <w:tcPr>
            <w:tcW w:type="dxa" w:w="2500"/>
            <w:tcBorders>
              <w:top w:val="single" w:color="CCCCCC" w:sz="4"/>
              <w:left w:val="single" w:color="CCCCCC" w:sz="4"/>
              <w:bottom w:val="single" w:color="CCCCCC" w:sz="4"/>
              <w:right w:val="single" w:color="CCCCCC" w:sz="4"/>
            </w:tcBorders>
            <w:shd w:fill="F2F5F8" w:color="auto" w:val="clear"/>
            <w:tcMar>
              <w:top w:type="dxa" w:w="60"/>
              <w:left w:type="dxa" w:w="100"/>
              <w:bottom w:type="dxa" w:w="60"/>
              <w:right w:type="dxa" w:w="100"/>
            </w:tcMar>
          </w:tcPr>
          <w:p>
            <w:pPr>
              <w:spacing w:after="0" w:line="250"/>
            </w:pPr>
            <w:r>
              <w:rPr>
                <w:color w:val="222222"/>
                <w:sz w:val="19"/>
                <w:szCs w:val="19"/>
              </w:rPr>
              <w:t xml:space="preserve">Licences &amp; resources</w:t>
            </w:r>
          </w:p>
        </w:tc>
        <w:tc>
          <w:tcPr>
            <w:tcW w:type="dxa" w:w="6860"/>
            <w:tcBorders>
              <w:top w:val="single" w:color="CCCCCC" w:sz="4"/>
              <w:left w:val="single" w:color="CCCCCC" w:sz="4"/>
              <w:bottom w:val="single" w:color="CCCCCC" w:sz="4"/>
              <w:right w:val="single" w:color="CCCCCC" w:sz="4"/>
            </w:tcBorders>
            <w:shd w:fill="F2F5F8" w:color="auto" w:val="clear"/>
            <w:tcMar>
              <w:top w:type="dxa" w:w="60"/>
              <w:left w:type="dxa" w:w="100"/>
              <w:bottom w:type="dxa" w:w="60"/>
              <w:right w:type="dxa" w:w="100"/>
            </w:tcMar>
          </w:tcPr>
          <w:p>
            <w:pPr>
              <w:spacing w:after="0" w:line="250"/>
            </w:pPr>
            <w:r>
              <w:rPr>
                <w:color w:val="222222"/>
                <w:sz w:val="19"/>
                <w:szCs w:val="19"/>
              </w:rPr>
              <w:t xml:space="preserve">Seats, numbers, storage and AI: bought, assigned, and spare.</w:t>
            </w:r>
          </w:p>
        </w:tc>
      </w:tr>
      <w:tr>
        <w:tc>
          <w:tcPr>
            <w:tcW w:type="dxa" w:w="250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tcPr>
          <w:p>
            <w:pPr>
              <w:spacing w:after="0" w:line="250"/>
            </w:pPr>
            <w:r>
              <w:rPr>
                <w:color w:val="222222"/>
                <w:sz w:val="19"/>
                <w:szCs w:val="19"/>
              </w:rPr>
              <w:t xml:space="preserve">Credit &amp; payment</w:t>
            </w:r>
          </w:p>
        </w:tc>
        <w:tc>
          <w:tcPr>
            <w:tcW w:type="dxa" w:w="686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tcPr>
          <w:p>
            <w:pPr>
              <w:spacing w:after="0" w:line="250"/>
            </w:pPr>
            <w:r>
              <w:rPr>
                <w:color w:val="222222"/>
                <w:sz w:val="19"/>
                <w:szCs w:val="19"/>
              </w:rPr>
              <w:t xml:space="preserve">The credit balance, top-ups, automatic top-up, and saved cards.</w:t>
            </w:r>
          </w:p>
        </w:tc>
      </w:tr>
      <w:tr>
        <w:tc>
          <w:tcPr>
            <w:tcW w:type="dxa" w:w="2500"/>
            <w:tcBorders>
              <w:top w:val="single" w:color="CCCCCC" w:sz="4"/>
              <w:left w:val="single" w:color="CCCCCC" w:sz="4"/>
              <w:bottom w:val="single" w:color="CCCCCC" w:sz="4"/>
              <w:right w:val="single" w:color="CCCCCC" w:sz="4"/>
            </w:tcBorders>
            <w:shd w:fill="F2F5F8" w:color="auto" w:val="clear"/>
            <w:tcMar>
              <w:top w:type="dxa" w:w="60"/>
              <w:left w:type="dxa" w:w="100"/>
              <w:bottom w:type="dxa" w:w="60"/>
              <w:right w:type="dxa" w:w="100"/>
            </w:tcMar>
          </w:tcPr>
          <w:p>
            <w:pPr>
              <w:spacing w:after="0" w:line="250"/>
            </w:pPr>
            <w:r>
              <w:rPr>
                <w:color w:val="222222"/>
                <w:sz w:val="19"/>
                <w:szCs w:val="19"/>
              </w:rPr>
              <w:t xml:space="preserve">Invoices</w:t>
            </w:r>
          </w:p>
        </w:tc>
        <w:tc>
          <w:tcPr>
            <w:tcW w:type="dxa" w:w="6860"/>
            <w:tcBorders>
              <w:top w:val="single" w:color="CCCCCC" w:sz="4"/>
              <w:left w:val="single" w:color="CCCCCC" w:sz="4"/>
              <w:bottom w:val="single" w:color="CCCCCC" w:sz="4"/>
              <w:right w:val="single" w:color="CCCCCC" w:sz="4"/>
            </w:tcBorders>
            <w:shd w:fill="F2F5F8" w:color="auto" w:val="clear"/>
            <w:tcMar>
              <w:top w:type="dxa" w:w="60"/>
              <w:left w:type="dxa" w:w="100"/>
              <w:bottom w:type="dxa" w:w="60"/>
              <w:right w:type="dxa" w:w="100"/>
            </w:tcMar>
          </w:tcPr>
          <w:p>
            <w:pPr>
              <w:spacing w:after="0" w:line="250"/>
            </w:pPr>
            <w:r>
              <w:rPr>
                <w:color w:val="222222"/>
                <w:sz w:val="19"/>
                <w:szCs w:val="19"/>
              </w:rPr>
              <w:t xml:space="preserve">Each charge with its tax broken out.</w:t>
            </w:r>
          </w:p>
        </w:tc>
      </w:tr>
      <w:tr>
        <w:tc>
          <w:tcPr>
            <w:tcW w:type="dxa" w:w="250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tcPr>
          <w:p>
            <w:pPr>
              <w:spacing w:after="0" w:line="250"/>
            </w:pPr>
            <w:r>
              <w:rPr>
                <w:color w:val="222222"/>
                <w:sz w:val="19"/>
                <w:szCs w:val="19"/>
              </w:rPr>
              <w:t xml:space="preserve">Statement</w:t>
            </w:r>
          </w:p>
        </w:tc>
        <w:tc>
          <w:tcPr>
            <w:tcW w:type="dxa" w:w="686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tcPr>
          <w:p>
            <w:pPr>
              <w:spacing w:after="0" w:line="250"/>
            </w:pPr>
            <w:r>
              <w:rPr>
                <w:color w:val="222222"/>
                <w:sz w:val="19"/>
                <w:szCs w:val="19"/>
              </w:rPr>
              <w:t xml:space="preserve">The running ledger, for when the summary is not enough.</w:t>
            </w:r>
          </w:p>
        </w:tc>
      </w:tr>
      <w:tr>
        <w:tc>
          <w:tcPr>
            <w:tcW w:type="dxa" w:w="2500"/>
            <w:tcBorders>
              <w:top w:val="single" w:color="CCCCCC" w:sz="4"/>
              <w:left w:val="single" w:color="CCCCCC" w:sz="4"/>
              <w:bottom w:val="single" w:color="CCCCCC" w:sz="4"/>
              <w:right w:val="single" w:color="CCCCCC" w:sz="4"/>
            </w:tcBorders>
            <w:shd w:fill="F2F5F8" w:color="auto" w:val="clear"/>
            <w:tcMar>
              <w:top w:type="dxa" w:w="60"/>
              <w:left w:type="dxa" w:w="100"/>
              <w:bottom w:type="dxa" w:w="60"/>
              <w:right w:type="dxa" w:w="100"/>
            </w:tcMar>
          </w:tcPr>
          <w:p>
            <w:pPr>
              <w:spacing w:after="0" w:line="250"/>
            </w:pPr>
            <w:r>
              <w:rPr>
                <w:color w:val="222222"/>
                <w:sz w:val="19"/>
                <w:szCs w:val="19"/>
              </w:rPr>
              <w:t xml:space="preserve">Modules &amp; access</w:t>
            </w:r>
          </w:p>
        </w:tc>
        <w:tc>
          <w:tcPr>
            <w:tcW w:type="dxa" w:w="6860"/>
            <w:tcBorders>
              <w:top w:val="single" w:color="CCCCCC" w:sz="4"/>
              <w:left w:val="single" w:color="CCCCCC" w:sz="4"/>
              <w:bottom w:val="single" w:color="CCCCCC" w:sz="4"/>
              <w:right w:val="single" w:color="CCCCCC" w:sz="4"/>
            </w:tcBorders>
            <w:shd w:fill="F2F5F8" w:color="auto" w:val="clear"/>
            <w:tcMar>
              <w:top w:type="dxa" w:w="60"/>
              <w:left w:type="dxa" w:w="100"/>
              <w:bottom w:type="dxa" w:w="60"/>
              <w:right w:type="dxa" w:w="100"/>
            </w:tcMar>
          </w:tcPr>
          <w:p>
            <w:pPr>
              <w:spacing w:after="0" w:line="250"/>
            </w:pPr>
            <w:r>
              <w:rPr>
                <w:color w:val="222222"/>
                <w:sz w:val="19"/>
                <w:szCs w:val="19"/>
              </w:rPr>
              <w:t xml:space="preserve">Which product modules the plan carries, and who can see them. Read-only.</w:t>
            </w:r>
          </w:p>
        </w:tc>
      </w:tr>
      <w:tr>
        <w:tc>
          <w:tcPr>
            <w:tcW w:type="dxa" w:w="250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tcPr>
          <w:p>
            <w:pPr>
              <w:spacing w:after="0" w:line="250"/>
            </w:pPr>
            <w:r>
              <w:rPr>
                <w:color w:val="222222"/>
                <w:sz w:val="19"/>
                <w:szCs w:val="19"/>
              </w:rPr>
              <w:t xml:space="preserve">Add-ons</w:t>
            </w:r>
          </w:p>
        </w:tc>
        <w:tc>
          <w:tcPr>
            <w:tcW w:type="dxa" w:w="686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tcPr>
          <w:p>
            <w:pPr>
              <w:spacing w:after="0" w:line="250"/>
            </w:pPr>
            <w:r>
              <w:rPr>
                <w:color w:val="222222"/>
                <w:sz w:val="19"/>
                <w:szCs w:val="19"/>
              </w:rPr>
              <w:t xml:space="preserve">Extras on top of the plan, and which you already have. Informational.</w:t>
            </w:r>
          </w:p>
        </w:tc>
      </w:tr>
      <w:tr>
        <w:tc>
          <w:tcPr>
            <w:tcW w:type="dxa" w:w="2500"/>
            <w:tcBorders>
              <w:top w:val="single" w:color="CCCCCC" w:sz="4"/>
              <w:left w:val="single" w:color="CCCCCC" w:sz="4"/>
              <w:bottom w:val="single" w:color="CCCCCC" w:sz="4"/>
              <w:right w:val="single" w:color="CCCCCC" w:sz="4"/>
            </w:tcBorders>
            <w:shd w:fill="F2F5F8" w:color="auto" w:val="clear"/>
            <w:tcMar>
              <w:top w:type="dxa" w:w="60"/>
              <w:left w:type="dxa" w:w="100"/>
              <w:bottom w:type="dxa" w:w="60"/>
              <w:right w:type="dxa" w:w="100"/>
            </w:tcMar>
          </w:tcPr>
          <w:p>
            <w:pPr>
              <w:spacing w:after="0" w:line="250"/>
            </w:pPr>
            <w:r>
              <w:rPr>
                <w:color w:val="222222"/>
                <w:sz w:val="19"/>
                <w:szCs w:val="19"/>
              </w:rPr>
              <w:t xml:space="preserve">Cost centres</w:t>
            </w:r>
          </w:p>
        </w:tc>
        <w:tc>
          <w:tcPr>
            <w:tcW w:type="dxa" w:w="6860"/>
            <w:tcBorders>
              <w:top w:val="single" w:color="CCCCCC" w:sz="4"/>
              <w:left w:val="single" w:color="CCCCCC" w:sz="4"/>
              <w:bottom w:val="single" w:color="CCCCCC" w:sz="4"/>
              <w:right w:val="single" w:color="CCCCCC" w:sz="4"/>
            </w:tcBorders>
            <w:shd w:fill="F2F5F8" w:color="auto" w:val="clear"/>
            <w:tcMar>
              <w:top w:type="dxa" w:w="60"/>
              <w:left w:type="dxa" w:w="100"/>
              <w:bottom w:type="dxa" w:w="60"/>
              <w:right w:type="dxa" w:w="100"/>
            </w:tcMar>
          </w:tcPr>
          <w:p>
            <w:pPr>
              <w:spacing w:after="0" w:line="250"/>
            </w:pPr>
            <w:r>
              <w:rPr>
                <w:color w:val="222222"/>
                <w:sz w:val="19"/>
                <w:szCs w:val="19"/>
              </w:rPr>
              <w:t xml:space="preserve">Reporting labels for spend. They do not change what is charged.</w:t>
            </w:r>
          </w:p>
        </w:tc>
      </w:tr>
    </w:tbl>
    <w:p>
      <w:pPr>
        <w:spacing w:after="160" w:line="300"/>
        <w:jc w:val="both"/>
      </w:pPr>
      <w:r>
        <w:t xml:space="preserve">Two more billing screens sit outside that menu because they belong to different moments: the signup payment page, where a new customer picks a plan and pays, and the renewal page, which takes over when a plan has expired. A guard sits in front of the app so that a customer whose payment is pending is sent to renew before they can use anything else. An old “Spending” link still works too; it quietly redirects into Usage so nobody’s bookmark breaks.</w:t>
      </w:r>
    </w:p>
    <w:p>
      <w:pPr>
        <w:pStyle w:val="Heading1"/>
        <w:spacing w:after="120" w:before="300"/>
      </w:pPr>
      <w:r>
        <w:t xml:space="preserve">Paying: the gateway, cards and top-ups</w:t>
      </w:r>
    </w:p>
    <w:p>
      <w:pPr>
        <w:spacing w:after="160" w:line="300"/>
        <w:jc w:val="both"/>
      </w:pPr>
      <w:r>
        <w:t xml:space="preserve">All of the payment work goes through Stripe, using Stripe’s own card fields and its bank-verification step for cards that ask for it. The publishable key is not baked into the code; it comes from the site configuration at run time, and there are no test keys or test card numbers anywhere in the source. A single shared payment component does the card entry, the saved-card selection, and the verification handshake, so every place that takes money behaves the same way. Amounts are always accompanied by a tax quote reference the server issued, which lets the backend re-check the charge rather than trust a number the browser sends.</w:t>
      </w:r>
    </w:p>
    <w:p>
      <w:pPr>
        <w:spacing w:after="160" w:line="300"/>
        <w:jc w:val="both"/>
      </w:pPr>
      <w:r>
        <w:t xml:space="preserve">Topping up the balance works today. The amounts are fixed buttons from twenty dollars up to two hundred, the payment runs through Stripe with the verification step handled, and the customer can choose to save the card while they are at it. There is no free-typed amount, only the presets. Saved cards are fully managed: an administrator can add a card through Stripe’s secure fields, list what is on file, delete one, or mark one as the default.</w:t>
      </w:r>
    </w:p>
    <w:p>
      <w:pPr>
        <w:spacing w:after="160" w:line="300"/>
        <w:jc w:val="both"/>
      </w:pPr>
      <w:r>
        <w:t xml:space="preserve">Two automatic behaviours sit alongside the top-up. The first is automatic recharge: turn it on, pick the balance at which it should trigger and the amount to add, and the account tops itself up. The second is a low-balance alert that warns at a chosen figure. The interface only lets one of the two be on at a time, which is a sensible way to avoid a warning and an automatic charge fighting over the same threshold. Both are live where the administrator has permission to see billing.</w:t>
      </w:r>
    </w:p>
    <w:p>
      <w:pPr>
        <w:pStyle w:val="Heading1"/>
        <w:spacing w:after="120" w:before="300"/>
      </w:pPr>
      <w:r>
        <w:t xml:space="preserve">Plans, seats and storage</w:t>
      </w:r>
    </w:p>
    <w:p>
      <w:pPr>
        <w:spacing w:after="160" w:line="300"/>
        <w:jc w:val="both"/>
      </w:pPr>
      <w:r>
        <w:t xml:space="preserve">The plan screen is close to complete. It shows the current plan with its price per user and billing period, flags a trial, and—where a change is already scheduled—spells out in a sentence how the plan will change at the next renewal. From here an administrator can change plan, renew, upgrade from a trial, cancel the subscription, or withdraw a change they had requested, and each of those actions is connected to a real request rather than a placeholder.</w:t>
      </w:r>
    </w:p>
    <w:p>
      <w:pPr>
        <w:spacing w:after="160" w:line="300"/>
        <w:jc w:val="both"/>
      </w:pPr>
      <w:r>
        <w:t xml:space="preserve">Changing plan is handled carefully. Each plan is worked out as the current one, an upgrade or a downgrade, and the screen offers a choice between applying the change at the end of the billing cycle or immediately, with the immediate option only offered when the billing periods line up. Tax and the pro-rated cost are quoted live before anything is charged. A plan whose price did not come back from the server is shown but cannot be bought, which is the same “never a made-up zero” rule applied to a whole plan.</w:t>
      </w:r>
    </w:p>
    <w:p>
      <w:pPr>
        <w:spacing w:after="160" w:line="300"/>
        <w:jc w:val="both"/>
      </w:pPr>
      <w:r>
        <w:t xml:space="preserve">Seats are managed on their own screen and it does more than a plain add-and-remove. Because the server returns unassigned seats last, the screen quietly reads the tail of the list to find seats that are paid for but sitting idle, and surfaces them with a warning and a one-click way to drop them from the next bill. Buying seats shows a live tax and pro-rated quote before payment; removing them explains the refund and the date the seat stops working. Storage is the same story on a smaller scale: a chart of what is used, and a way to buy more by the gigabyte with the cost pro-rated. Numbers, per-country rates and the cost of the AI agents each have their own read-only view.</w:t>
      </w:r>
    </w:p>
    <w:p>
      <w:pPr>
        <w:pStyle w:val="Heading1"/>
        <w:spacing w:after="120" w:before="300"/>
      </w:pPr>
      <w:r>
        <w:t xml:space="preserve">Seeing what has been used</w:t>
      </w:r>
    </w:p>
    <w:p>
      <w:pPr>
        <w:spacing w:after="160" w:line="300"/>
        <w:jc w:val="both"/>
      </w:pPr>
      <w:r>
        <w:t xml:space="preserve">The Usage screen is honest about its own limits, and states them at the top. The allowance table is accurate for calling minutes and text messages: it shows what the plan includes, what has been used this cycle, anything over, the rate and the cost, with a bar that turns amber at eighty per cent and red once the allowance is gone. For the remaining rows—toll-free minutes, AI voice minutes, AI replies, picture messages and transcription—the plan carries an allowance but nothing yet counts usage back to this screen, so those cells read “Not available yet” rather than showing a zero that would be wrong.</w:t>
      </w:r>
    </w:p>
    <w:p>
      <w:pPr>
        <w:spacing w:after="160" w:line="300"/>
        <w:jc w:val="both"/>
      </w:pPr>
      <w:r>
        <w:t xml:space="preserve">The part of Usage that draws on the server’s own per-call figures is solid, and by design it agrees with the invoice. Below the allowances the screen breaks the period’s spend down by person, by destination and by direction, and can export that to a spreadsheet. When it has had to stop paging through a very long call list, it says so rather than quietly under-reporting.</w:t>
      </w:r>
    </w:p>
    <w:p>
      <w:pPr>
        <w:pStyle w:val="Heading1"/>
        <w:spacing w:after="120" w:before="300"/>
      </w:pPr>
      <w:r>
        <w:t xml:space="preserve">Invoices and the statement</w:t>
      </w:r>
    </w:p>
    <w:p>
      <w:pPr>
        <w:spacing w:after="160" w:line="300"/>
        <w:jc w:val="both"/>
      </w:pPr>
      <w:r>
        <w:t xml:space="preserve">The invoice list is complete: every charge with its date, number, amount, tax, description, how it was paid and its status, filterable by number, year or date range, expandable to the individual lines, and exportable to a spreadsheet. Opening an invoice shows a receipt-style breakdown with the tax split out per seat where that applies, and a failed charge opens an explanation of why it did not go through rather than leaving the administrator guessing.</w:t>
      </w:r>
    </w:p>
    <w:p>
      <w:pPr>
        <w:spacing w:after="160" w:line="300"/>
        <w:jc w:val="both"/>
      </w:pPr>
      <w:r>
        <w:t xml:space="preserve">The one real gap here is a proper invoice document. The code says it plainly: the platform has no invoice-document service, so a formal, stamped PDF is not available yet. What exists instead is a screenshot of the on-screen receipt turned into a PDF, which is a reasonable stand-in but is not the same thing as an invoice a finance team can file. The Statement screen complements the invoice list with a running ledger—charged to date, pending, failed and the wallet balance—and reads every page of the history so it never understates. It carries no filters or export of its own, which is the main thing it lacks against the other two screens.</w:t>
      </w:r>
    </w:p>
    <w:p>
      <w:pPr>
        <w:pStyle w:val="Heading1"/>
        <w:spacing w:after="120" w:before="300"/>
      </w:pPr>
      <w:r>
        <w:t xml:space="preserve">Add-ons, modules and cost centres</w:t>
      </w:r>
    </w:p>
    <w:p>
      <w:pPr>
        <w:spacing w:after="160" w:line="300"/>
        <w:jc w:val="both"/>
      </w:pPr>
      <w:r>
        <w:t xml:space="preserve">The Add-ons screen is, for now, a catalogue rather than a shop. It correctly shows which extras are already on the plan and which are not, but it cannot sell anything from inside the product, and it says so: there is no buy button, and customers are pointed at their account manager instead. That restraint is deliberate. The only endpoint that would buy a licence charges whatever amount the browser sends it, and the team decided a price button that trusts the browser with a price is the start of a refund conversation, so they left it out until there is a properly priced endpoint. Most of the add-on prices therefore read “Not available yet”; only a couple carry a real figure.</w:t>
      </w:r>
    </w:p>
    <w:p>
      <w:pPr>
        <w:spacing w:after="160" w:line="300"/>
        <w:jc w:val="both"/>
      </w:pPr>
      <w:r>
        <w:t xml:space="preserve">Modules &amp; access is a diagnostic rather than a control panel, and a useful one. It lays out every product area and explains, in plain words, whether it is included, switched off or not provisioned on the plan, and whether it is showing or hidden in the menu. Nothing is bought or changed here, because turning a module on is a change to the plan, not a toggle on a screen.</w:t>
      </w:r>
    </w:p>
    <w:p>
      <w:pPr>
        <w:spacing w:after="160" w:line="300"/>
        <w:jc w:val="both"/>
      </w:pPr>
      <w:r>
        <w:t xml:space="preserve">Cost centres are half-built by design. An administrator can create, rename and archive the reporting codes, and they are saved against the company. What does not exist yet is the part that would use them: nothing splits spending by cost centre, and no report or invoice reads them. The engine that would do the splitting is written and tested in the code, it simply is not connected to anything, and the screen tells the reader as much.</w:t>
      </w:r>
    </w:p>
    <w:p>
      <w:pPr>
        <w:pStyle w:val="Heading1"/>
        <w:spacing w:after="120" w:before="300"/>
      </w:pPr>
      <w:r>
        <w:t xml:space="preserve">Signing up, renewing and the guards</w:t>
      </w:r>
    </w:p>
    <w:p>
      <w:pPr>
        <w:spacing w:after="160" w:line="300"/>
        <w:jc w:val="both"/>
      </w:pPr>
      <w:r>
        <w:t xml:space="preserve">The signup and renewal flows are live. A new customer picks the number of seats, sees the cost with any discount and a live tax quote, and either pays through Stripe or starts a trial at no charge. An existing customer whose plan has lapsed is handed to a renewal page that renews the plan or upgrades a trial, runs the same Stripe and verification path, and signs them back in once it is done. Around all of this sit the guards that make the rest of the product behave: a customer with a pending payment is routed to renew, feature panels offer an upgrade where a plan does not include something, and a small floating widget nudges an account that is expiring or overdue.</w:t>
      </w:r>
    </w:p>
    <w:p>
      <w:pPr>
        <w:spacing w:after="160" w:line="300"/>
        <w:jc w:val="both"/>
      </w:pPr>
      <w:r>
        <w:t xml:space="preserve">There is one rough edge in this flow worth flagging now rather than in the list at the end, because it is user-facing. The three payment handlers on the signup page have empty error branches—the code that would show a failure message is commented out—so a declined card or a server error during signup currently shows the customer nothing at all. That is a real gap in an otherwise complete flow.</w:t>
      </w:r>
    </w:p>
    <w:p>
      <w:pPr>
        <w:pStyle w:val="Heading1"/>
        <w:spacing w:after="120" w:before="300"/>
      </w:pPr>
      <w:r>
        <w:t xml:space="preserve">Billing inside the phone app</w:t>
      </w:r>
    </w:p>
    <w:p>
      <w:pPr>
        <w:spacing w:after="160" w:line="300"/>
        <w:jc w:val="both"/>
      </w:pPr>
      <w:r>
        <w:t xml:space="preserve">The question of what billing looks like from inside the phone, as opposed to the admin console, is worth answering on its own, because the answer is thinner than the admin side and the difference is telling.</w:t>
      </w:r>
    </w:p>
    <w:p>
      <w:pPr>
        <w:spacing w:after="160" w:line="300"/>
        <w:jc w:val="both"/>
      </w:pPr>
      <w:r>
        <w:t xml:space="preserve">What is there. The app header carries the company’s credit balance and a shortcut through to the top-up page, so an agent always has the number in view and a way to act on it. Across the whole console, an account-state banner explains in plain language when a plan has expired, been suspended, or had a payment fail—and, importantly, it appears on whatever screen the person is on when something refuses to work, not only in the billing area, so nobody is left guessing why a button went dead. When an agent is about to send a text message, the app looks up and shows the per-message cost before they send it, so messaging has a genuine, if small, cost preview.</w:t>
      </w:r>
    </w:p>
    <w:p>
      <w:pPr>
        <w:spacing w:after="160" w:line="300"/>
        <w:jc w:val="both"/>
      </w:pPr>
      <w:r>
        <w:t xml:space="preserve">What is not there. Voice calls carry no cost anywhere in the phone: there is no rate shown before a call, no running cost during it, and no charge shown after it. The balance in the header does not visibly tick down as a call runs. Nothing in the front end stops an agent placing a call when the balance is low or empty; that decision, if it is made at all, is left to the server. And there is a balance chip built specifically for the dialpad panel that is currently commented out, so the balance shows in the header but not inside the phone itself. None of these are failures exactly, but together they mean the phone tells an agent what a text will cost and never what a call will cost, and that is the most obvious inconsistency in the billing experience.</w:t>
      </w:r>
    </w:p>
    <w:p>
      <w:pPr>
        <w:pStyle w:val="Heading1"/>
        <w:spacing w:after="120" w:before="300"/>
      </w:pPr>
      <w:r>
        <w:t xml:space="preserve">How this compares to Dialpad</w:t>
      </w:r>
    </w:p>
    <w:p>
      <w:pPr>
        <w:spacing w:after="160" w:line="300"/>
        <w:jc w:val="both"/>
      </w:pPr>
      <w:r>
        <w:t xml:space="preserve">It helps to measure the billing against a mature competitor, and Dialpad is the obvious one. Before listing what they do that we do not, it is worth being honest about a difference that runs underneath the whole comparison: the two companies bill on different models. Dialpad sells a per-seat subscription with unlimited domestic calling folded into the plan, so a customer largely pays a predictable monthly figure per user and rarely thinks about a balance. Our model is a subscription plus a prepaid credit wallet, with calling and messaging drawn down against that wallet once an allowance is used up. Neither is wrong, but it means a feature-by-feature match is not quite apples to apples: some of what Dialpad has, we do not need in the same shape, and some of what we have—the wallet, auto-recharge, low-balance alerts, a per-message cost shown before sending—Dialpad’s model simply does not surface because it does not work that way.</w:t>
      </w:r>
    </w:p>
    <w:p>
      <w:pPr>
        <w:spacing w:after="160" w:line="300"/>
        <w:jc w:val="both"/>
      </w:pPr>
      <w:r>
        <w:t xml:space="preserve">With that said, there are several things a customer gets from Dialpad’s billing that they do not get from ours today, and most of them line up with the gaps found earlier in this review. The clearest is the invoice itself. Dialpad hands a finance team a real, downloadable PDF invoice from a self-serve billing portal; we have no invoice-document service yet, only a screenshot of the on-screen receipt. Close behind it is buying extras. On Dialpad an administrator can add international calling, extra numbers, contact-centre seats or the AI features to their own account and be charged for it there and then; on our platform the add-ons screen is a catalogue that tells the customer to contact their account manager, because there is not yet a safely-priced endpoint to sell through.</w:t>
      </w:r>
    </w:p>
    <w:p>
      <w:pPr>
        <w:spacing w:after="160" w:line="300"/>
        <w:jc w:val="both"/>
      </w:pPr>
      <w:r>
        <w:t xml:space="preserve">The plan experience is broader on their side as well. Dialpad publishes its pricing openly and lets a customer self-serve both monthly and annual billing, with the annual option discounted; our plans are defined in the front end, several prices read “not available,” and annual billing is marked as something to arrange by request rather than something a customer can pick and pay for. Their usage and analytics are more complete too: every billable service is metered and reported, whereas we already noted that a handful of ours show an allowance without yet counting what has been used. And where a larger organisation wants to slice spend by team, office or department, Dialpad reports it; our cost-centre codes are saved but nothing yet splits spending by them.</w:t>
      </w:r>
    </w:p>
    <w:p>
      <w:pPr>
        <w:spacing w:after="160" w:line="300"/>
        <w:jc w:val="both"/>
      </w:pPr>
      <w:r>
        <w:t xml:space="preserve">Three more belong on the list because they matter to the kind of buyer who compares the two. Dialpad offers single sign-on—Google, Okta, Microsoft/SAML—so an enterprise admin reaches billing through their own identity provider; we do not have SSO yet, which is the very thing sitting on the shelf for the next round of work. Dialpad bills larger customers by invoice and ACH, not only by card, and supports billing in local currencies in the regions it serves; our billing is card-and-wallet only and fixed to US dollars in the code. None of these block a small customer, but each is a reason a bigger one might hesitate.</w:t>
      </w:r>
    </w:p>
    <w:p>
      <w:pPr>
        <w:spacing w:after="160" w:line="300"/>
        <w:jc w:val="both"/>
      </w:pPr>
      <w:r>
        <w:t xml:space="preserve">Put side by side, the picture looks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rPr>
          <w:tblHeader/>
        </w:trPr>
        <w:tc>
          <w:tcPr>
            <w:tcW w:type="dxa" w:w="3400"/>
            <w:tcBorders>
              <w:top w:val="single" w:color="CCCCCC" w:sz="4"/>
              <w:left w:val="single" w:color="CCCCCC" w:sz="4"/>
              <w:bottom w:val="single" w:color="CCCCCC" w:sz="4"/>
              <w:right w:val="single" w:color="CCCCCC" w:sz="4"/>
            </w:tcBorders>
            <w:shd w:fill="1A3A5C" w:color="auto" w:val="clear"/>
            <w:tcMar>
              <w:top w:type="dxa" w:w="60"/>
              <w:left w:type="dxa" w:w="100"/>
              <w:bottom w:type="dxa" w:w="60"/>
              <w:right w:type="dxa" w:w="100"/>
            </w:tcMar>
          </w:tcPr>
          <w:p>
            <w:pPr>
              <w:spacing w:after="0" w:line="250"/>
            </w:pPr>
            <w:r>
              <w:rPr>
                <w:b/>
                <w:bCs/>
                <w:color w:val="FFFFFF"/>
                <w:sz w:val="19"/>
                <w:szCs w:val="19"/>
              </w:rPr>
              <w:t xml:space="preserve">Billing capability</w:t>
            </w:r>
          </w:p>
        </w:tc>
        <w:tc>
          <w:tcPr>
            <w:tcW w:type="dxa" w:w="3000"/>
            <w:tcBorders>
              <w:top w:val="single" w:color="CCCCCC" w:sz="4"/>
              <w:left w:val="single" w:color="CCCCCC" w:sz="4"/>
              <w:bottom w:val="single" w:color="CCCCCC" w:sz="4"/>
              <w:right w:val="single" w:color="CCCCCC" w:sz="4"/>
            </w:tcBorders>
            <w:shd w:fill="1A3A5C" w:color="auto" w:val="clear"/>
            <w:tcMar>
              <w:top w:type="dxa" w:w="60"/>
              <w:left w:type="dxa" w:w="100"/>
              <w:bottom w:type="dxa" w:w="60"/>
              <w:right w:type="dxa" w:w="100"/>
            </w:tcMar>
          </w:tcPr>
          <w:p>
            <w:pPr>
              <w:spacing w:after="0" w:line="250"/>
            </w:pPr>
            <w:r>
              <w:rPr>
                <w:b/>
                <w:bCs/>
                <w:color w:val="FFFFFF"/>
                <w:sz w:val="19"/>
                <w:szCs w:val="19"/>
              </w:rPr>
              <w:t xml:space="preserve">Dialpad</w:t>
            </w:r>
          </w:p>
        </w:tc>
        <w:tc>
          <w:tcPr>
            <w:tcW w:type="dxa" w:w="2960"/>
            <w:tcBorders>
              <w:top w:val="single" w:color="CCCCCC" w:sz="4"/>
              <w:left w:val="single" w:color="CCCCCC" w:sz="4"/>
              <w:bottom w:val="single" w:color="CCCCCC" w:sz="4"/>
              <w:right w:val="single" w:color="CCCCCC" w:sz="4"/>
            </w:tcBorders>
            <w:shd w:fill="1A3A5C" w:color="auto" w:val="clear"/>
            <w:tcMar>
              <w:top w:type="dxa" w:w="60"/>
              <w:left w:type="dxa" w:w="100"/>
              <w:bottom w:type="dxa" w:w="60"/>
              <w:right w:type="dxa" w:w="100"/>
            </w:tcMar>
          </w:tcPr>
          <w:p>
            <w:pPr>
              <w:spacing w:after="0" w:line="250"/>
            </w:pPr>
            <w:r>
              <w:rPr>
                <w:b/>
                <w:bCs/>
                <w:color w:val="FFFFFF"/>
                <w:sz w:val="19"/>
                <w:szCs w:val="19"/>
              </w:rPr>
              <w:t xml:space="preserve">MCM today</w:t>
            </w:r>
          </w:p>
        </w:tc>
      </w:tr>
      <w:tr>
        <w:tc>
          <w:tcPr>
            <w:tcW w:type="dxa" w:w="340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tcPr>
          <w:p>
            <w:pPr>
              <w:spacing w:after="0" w:line="250"/>
            </w:pPr>
            <w:r>
              <w:rPr>
                <w:color w:val="222222"/>
                <w:sz w:val="19"/>
                <w:szCs w:val="19"/>
              </w:rPr>
              <w:t xml:space="preserve">Downloadable PDF invoice</w:t>
            </w:r>
          </w:p>
        </w:tc>
        <w:tc>
          <w:tcPr>
            <w:tcW w:type="dxa" w:w="300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tcPr>
          <w:p>
            <w:pPr>
              <w:spacing w:after="0" w:line="250"/>
            </w:pPr>
            <w:r>
              <w:rPr>
                <w:color w:val="222222"/>
                <w:sz w:val="19"/>
                <w:szCs w:val="19"/>
              </w:rPr>
              <w:t xml:space="preserve">Yes, from a self-serve portal</w:t>
            </w:r>
          </w:p>
        </w:tc>
        <w:tc>
          <w:tcPr>
            <w:tcW w:type="dxa" w:w="296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tcPr>
          <w:p>
            <w:pPr>
              <w:spacing w:after="0" w:line="250"/>
            </w:pPr>
            <w:r>
              <w:rPr>
                <w:color w:val="222222"/>
                <w:sz w:val="19"/>
                <w:szCs w:val="19"/>
              </w:rPr>
              <w:t xml:space="preserve">No — screenshot of the receipt only</w:t>
            </w:r>
          </w:p>
        </w:tc>
      </w:tr>
      <w:tr>
        <w:tc>
          <w:tcPr>
            <w:tcW w:type="dxa" w:w="3400"/>
            <w:tcBorders>
              <w:top w:val="single" w:color="CCCCCC" w:sz="4"/>
              <w:left w:val="single" w:color="CCCCCC" w:sz="4"/>
              <w:bottom w:val="single" w:color="CCCCCC" w:sz="4"/>
              <w:right w:val="single" w:color="CCCCCC" w:sz="4"/>
            </w:tcBorders>
            <w:shd w:fill="F2F5F8" w:color="auto" w:val="clear"/>
            <w:tcMar>
              <w:top w:type="dxa" w:w="60"/>
              <w:left w:type="dxa" w:w="100"/>
              <w:bottom w:type="dxa" w:w="60"/>
              <w:right w:type="dxa" w:w="100"/>
            </w:tcMar>
          </w:tcPr>
          <w:p>
            <w:pPr>
              <w:spacing w:after="0" w:line="250"/>
            </w:pPr>
            <w:r>
              <w:rPr>
                <w:color w:val="222222"/>
                <w:sz w:val="19"/>
                <w:szCs w:val="19"/>
              </w:rPr>
              <w:t xml:space="preserve">Buy add-ons self-serve</w:t>
            </w:r>
          </w:p>
        </w:tc>
        <w:tc>
          <w:tcPr>
            <w:tcW w:type="dxa" w:w="3000"/>
            <w:tcBorders>
              <w:top w:val="single" w:color="CCCCCC" w:sz="4"/>
              <w:left w:val="single" w:color="CCCCCC" w:sz="4"/>
              <w:bottom w:val="single" w:color="CCCCCC" w:sz="4"/>
              <w:right w:val="single" w:color="CCCCCC" w:sz="4"/>
            </w:tcBorders>
            <w:shd w:fill="F2F5F8" w:color="auto" w:val="clear"/>
            <w:tcMar>
              <w:top w:type="dxa" w:w="60"/>
              <w:left w:type="dxa" w:w="100"/>
              <w:bottom w:type="dxa" w:w="60"/>
              <w:right w:type="dxa" w:w="100"/>
            </w:tcMar>
          </w:tcPr>
          <w:p>
            <w:pPr>
              <w:spacing w:after="0" w:line="250"/>
            </w:pPr>
            <w:r>
              <w:rPr>
                <w:color w:val="222222"/>
                <w:sz w:val="19"/>
                <w:szCs w:val="19"/>
              </w:rPr>
              <w:t xml:space="preserve">Yes, charged in-app</w:t>
            </w:r>
          </w:p>
        </w:tc>
        <w:tc>
          <w:tcPr>
            <w:tcW w:type="dxa" w:w="2960"/>
            <w:tcBorders>
              <w:top w:val="single" w:color="CCCCCC" w:sz="4"/>
              <w:left w:val="single" w:color="CCCCCC" w:sz="4"/>
              <w:bottom w:val="single" w:color="CCCCCC" w:sz="4"/>
              <w:right w:val="single" w:color="CCCCCC" w:sz="4"/>
            </w:tcBorders>
            <w:shd w:fill="F2F5F8" w:color="auto" w:val="clear"/>
            <w:tcMar>
              <w:top w:type="dxa" w:w="60"/>
              <w:left w:type="dxa" w:w="100"/>
              <w:bottom w:type="dxa" w:w="60"/>
              <w:right w:type="dxa" w:w="100"/>
            </w:tcMar>
          </w:tcPr>
          <w:p>
            <w:pPr>
              <w:spacing w:after="0" w:line="250"/>
            </w:pPr>
            <w:r>
              <w:rPr>
                <w:color w:val="222222"/>
                <w:sz w:val="19"/>
                <w:szCs w:val="19"/>
              </w:rPr>
              <w:t xml:space="preserve">No — catalogue only, “contact your account manager”</w:t>
            </w:r>
          </w:p>
        </w:tc>
      </w:tr>
      <w:tr>
        <w:tc>
          <w:tcPr>
            <w:tcW w:type="dxa" w:w="340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tcPr>
          <w:p>
            <w:pPr>
              <w:spacing w:after="0" w:line="250"/>
            </w:pPr>
            <w:r>
              <w:rPr>
                <w:color w:val="222222"/>
                <w:sz w:val="19"/>
                <w:szCs w:val="19"/>
              </w:rPr>
              <w:t xml:space="preserve">Annual billing self-serve</w:t>
            </w:r>
          </w:p>
        </w:tc>
        <w:tc>
          <w:tcPr>
            <w:tcW w:type="dxa" w:w="300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tcPr>
          <w:p>
            <w:pPr>
              <w:spacing w:after="0" w:line="250"/>
            </w:pPr>
            <w:r>
              <w:rPr>
                <w:color w:val="222222"/>
                <w:sz w:val="19"/>
                <w:szCs w:val="19"/>
              </w:rPr>
              <w:t xml:space="preserve">Yes, discounted, pick-and-pay</w:t>
            </w:r>
          </w:p>
        </w:tc>
        <w:tc>
          <w:tcPr>
            <w:tcW w:type="dxa" w:w="296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tcPr>
          <w:p>
            <w:pPr>
              <w:spacing w:after="0" w:line="250"/>
            </w:pPr>
            <w:r>
              <w:rPr>
                <w:color w:val="222222"/>
                <w:sz w:val="19"/>
                <w:szCs w:val="19"/>
              </w:rPr>
              <w:t xml:space="preserve">By request; annual price often “not available”</w:t>
            </w:r>
          </w:p>
        </w:tc>
      </w:tr>
      <w:tr>
        <w:tc>
          <w:tcPr>
            <w:tcW w:type="dxa" w:w="3400"/>
            <w:tcBorders>
              <w:top w:val="single" w:color="CCCCCC" w:sz="4"/>
              <w:left w:val="single" w:color="CCCCCC" w:sz="4"/>
              <w:bottom w:val="single" w:color="CCCCCC" w:sz="4"/>
              <w:right w:val="single" w:color="CCCCCC" w:sz="4"/>
            </w:tcBorders>
            <w:shd w:fill="F2F5F8" w:color="auto" w:val="clear"/>
            <w:tcMar>
              <w:top w:type="dxa" w:w="60"/>
              <w:left w:type="dxa" w:w="100"/>
              <w:bottom w:type="dxa" w:w="60"/>
              <w:right w:type="dxa" w:w="100"/>
            </w:tcMar>
          </w:tcPr>
          <w:p>
            <w:pPr>
              <w:spacing w:after="0" w:line="250"/>
            </w:pPr>
            <w:r>
              <w:rPr>
                <w:color w:val="222222"/>
                <w:sz w:val="19"/>
                <w:szCs w:val="19"/>
              </w:rPr>
              <w:t xml:space="preserve">Published, transparent pricing</w:t>
            </w:r>
          </w:p>
        </w:tc>
        <w:tc>
          <w:tcPr>
            <w:tcW w:type="dxa" w:w="3000"/>
            <w:tcBorders>
              <w:top w:val="single" w:color="CCCCCC" w:sz="4"/>
              <w:left w:val="single" w:color="CCCCCC" w:sz="4"/>
              <w:bottom w:val="single" w:color="CCCCCC" w:sz="4"/>
              <w:right w:val="single" w:color="CCCCCC" w:sz="4"/>
            </w:tcBorders>
            <w:shd w:fill="F2F5F8" w:color="auto" w:val="clear"/>
            <w:tcMar>
              <w:top w:type="dxa" w:w="60"/>
              <w:left w:type="dxa" w:w="100"/>
              <w:bottom w:type="dxa" w:w="60"/>
              <w:right w:type="dxa" w:w="100"/>
            </w:tcMar>
          </w:tcPr>
          <w:p>
            <w:pPr>
              <w:spacing w:after="0" w:line="250"/>
            </w:pPr>
            <w:r>
              <w:rPr>
                <w:color w:val="222222"/>
                <w:sz w:val="19"/>
                <w:szCs w:val="19"/>
              </w:rPr>
              <w:t xml:space="preserve">Yes, on the website</w:t>
            </w:r>
          </w:p>
        </w:tc>
        <w:tc>
          <w:tcPr>
            <w:tcW w:type="dxa" w:w="2960"/>
            <w:tcBorders>
              <w:top w:val="single" w:color="CCCCCC" w:sz="4"/>
              <w:left w:val="single" w:color="CCCCCC" w:sz="4"/>
              <w:bottom w:val="single" w:color="CCCCCC" w:sz="4"/>
              <w:right w:val="single" w:color="CCCCCC" w:sz="4"/>
            </w:tcBorders>
            <w:shd w:fill="F2F5F8" w:color="auto" w:val="clear"/>
            <w:tcMar>
              <w:top w:type="dxa" w:w="60"/>
              <w:left w:type="dxa" w:w="100"/>
              <w:bottom w:type="dxa" w:w="60"/>
              <w:right w:type="dxa" w:w="100"/>
            </w:tcMar>
          </w:tcPr>
          <w:p>
            <w:pPr>
              <w:spacing w:after="0" w:line="250"/>
            </w:pPr>
            <w:r>
              <w:rPr>
                <w:color w:val="222222"/>
                <w:sz w:val="19"/>
                <w:szCs w:val="19"/>
              </w:rPr>
              <w:t xml:space="preserve">Prices defined in front end; some show “not available”</w:t>
            </w:r>
          </w:p>
        </w:tc>
      </w:tr>
      <w:tr>
        <w:tc>
          <w:tcPr>
            <w:tcW w:type="dxa" w:w="340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tcPr>
          <w:p>
            <w:pPr>
              <w:spacing w:after="0" w:line="250"/>
            </w:pPr>
            <w:r>
              <w:rPr>
                <w:color w:val="222222"/>
                <w:sz w:val="19"/>
                <w:szCs w:val="19"/>
              </w:rPr>
              <w:t xml:space="preserve">Full usage metering &amp; analytics</w:t>
            </w:r>
          </w:p>
        </w:tc>
        <w:tc>
          <w:tcPr>
            <w:tcW w:type="dxa" w:w="300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tcPr>
          <w:p>
            <w:pPr>
              <w:spacing w:after="0" w:line="250"/>
            </w:pPr>
            <w:r>
              <w:rPr>
                <w:color w:val="222222"/>
                <w:sz w:val="19"/>
                <w:szCs w:val="19"/>
              </w:rPr>
              <w:t xml:space="preserve">Yes, all billable services</w:t>
            </w:r>
          </w:p>
        </w:tc>
        <w:tc>
          <w:tcPr>
            <w:tcW w:type="dxa" w:w="296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tcPr>
          <w:p>
            <w:pPr>
              <w:spacing w:after="0" w:line="250"/>
            </w:pPr>
            <w:r>
              <w:rPr>
                <w:color w:val="222222"/>
                <w:sz w:val="19"/>
                <w:szCs w:val="19"/>
              </w:rPr>
              <w:t xml:space="preserve">Calls &amp; SMS metered; AI, toll-free, MMS, transcription not yet</w:t>
            </w:r>
          </w:p>
        </w:tc>
      </w:tr>
      <w:tr>
        <w:tc>
          <w:tcPr>
            <w:tcW w:type="dxa" w:w="3400"/>
            <w:tcBorders>
              <w:top w:val="single" w:color="CCCCCC" w:sz="4"/>
              <w:left w:val="single" w:color="CCCCCC" w:sz="4"/>
              <w:bottom w:val="single" w:color="CCCCCC" w:sz="4"/>
              <w:right w:val="single" w:color="CCCCCC" w:sz="4"/>
            </w:tcBorders>
            <w:shd w:fill="F2F5F8" w:color="auto" w:val="clear"/>
            <w:tcMar>
              <w:top w:type="dxa" w:w="60"/>
              <w:left w:type="dxa" w:w="100"/>
              <w:bottom w:type="dxa" w:w="60"/>
              <w:right w:type="dxa" w:w="100"/>
            </w:tcMar>
          </w:tcPr>
          <w:p>
            <w:pPr>
              <w:spacing w:after="0" w:line="250"/>
            </w:pPr>
            <w:r>
              <w:rPr>
                <w:color w:val="222222"/>
                <w:sz w:val="19"/>
                <w:szCs w:val="19"/>
              </w:rPr>
              <w:t xml:space="preserve">Spend by team / department</w:t>
            </w:r>
          </w:p>
        </w:tc>
        <w:tc>
          <w:tcPr>
            <w:tcW w:type="dxa" w:w="3000"/>
            <w:tcBorders>
              <w:top w:val="single" w:color="CCCCCC" w:sz="4"/>
              <w:left w:val="single" w:color="CCCCCC" w:sz="4"/>
              <w:bottom w:val="single" w:color="CCCCCC" w:sz="4"/>
              <w:right w:val="single" w:color="CCCCCC" w:sz="4"/>
            </w:tcBorders>
            <w:shd w:fill="F2F5F8" w:color="auto" w:val="clear"/>
            <w:tcMar>
              <w:top w:type="dxa" w:w="60"/>
              <w:left w:type="dxa" w:w="100"/>
              <w:bottom w:type="dxa" w:w="60"/>
              <w:right w:type="dxa" w:w="100"/>
            </w:tcMar>
          </w:tcPr>
          <w:p>
            <w:pPr>
              <w:spacing w:after="0" w:line="250"/>
            </w:pPr>
            <w:r>
              <w:rPr>
                <w:color w:val="222222"/>
                <w:sz w:val="19"/>
                <w:szCs w:val="19"/>
              </w:rPr>
              <w:t xml:space="preserve">Yes, in reporting</w:t>
            </w:r>
          </w:p>
        </w:tc>
        <w:tc>
          <w:tcPr>
            <w:tcW w:type="dxa" w:w="2960"/>
            <w:tcBorders>
              <w:top w:val="single" w:color="CCCCCC" w:sz="4"/>
              <w:left w:val="single" w:color="CCCCCC" w:sz="4"/>
              <w:bottom w:val="single" w:color="CCCCCC" w:sz="4"/>
              <w:right w:val="single" w:color="CCCCCC" w:sz="4"/>
            </w:tcBorders>
            <w:shd w:fill="F2F5F8" w:color="auto" w:val="clear"/>
            <w:tcMar>
              <w:top w:type="dxa" w:w="60"/>
              <w:left w:type="dxa" w:w="100"/>
              <w:bottom w:type="dxa" w:w="60"/>
              <w:right w:type="dxa" w:w="100"/>
            </w:tcMar>
          </w:tcPr>
          <w:p>
            <w:pPr>
              <w:spacing w:after="0" w:line="250"/>
            </w:pPr>
            <w:r>
              <w:rPr>
                <w:color w:val="222222"/>
                <w:sz w:val="19"/>
                <w:szCs w:val="19"/>
              </w:rPr>
              <w:t xml:space="preserve">Cost-centre labels saved, but nothing splits spend yet</w:t>
            </w:r>
          </w:p>
        </w:tc>
      </w:tr>
      <w:tr>
        <w:tc>
          <w:tcPr>
            <w:tcW w:type="dxa" w:w="340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tcPr>
          <w:p>
            <w:pPr>
              <w:spacing w:after="0" w:line="250"/>
            </w:pPr>
            <w:r>
              <w:rPr>
                <w:color w:val="222222"/>
                <w:sz w:val="19"/>
                <w:szCs w:val="19"/>
              </w:rPr>
              <w:t xml:space="preserve">Single sign-on for admins</w:t>
            </w:r>
          </w:p>
        </w:tc>
        <w:tc>
          <w:tcPr>
            <w:tcW w:type="dxa" w:w="300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tcPr>
          <w:p>
            <w:pPr>
              <w:spacing w:after="0" w:line="250"/>
            </w:pPr>
            <w:r>
              <w:rPr>
                <w:color w:val="222222"/>
                <w:sz w:val="19"/>
                <w:szCs w:val="19"/>
              </w:rPr>
              <w:t xml:space="preserve">Yes (Google / Okta / SAML)</w:t>
            </w:r>
          </w:p>
        </w:tc>
        <w:tc>
          <w:tcPr>
            <w:tcW w:type="dxa" w:w="296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tcPr>
          <w:p>
            <w:pPr>
              <w:spacing w:after="0" w:line="250"/>
            </w:pPr>
            <w:r>
              <w:rPr>
                <w:color w:val="222222"/>
                <w:sz w:val="19"/>
                <w:szCs w:val="19"/>
              </w:rPr>
              <w:t xml:space="preserve">Not yet (planned)</w:t>
            </w:r>
          </w:p>
        </w:tc>
      </w:tr>
      <w:tr>
        <w:tc>
          <w:tcPr>
            <w:tcW w:type="dxa" w:w="3400"/>
            <w:tcBorders>
              <w:top w:val="single" w:color="CCCCCC" w:sz="4"/>
              <w:left w:val="single" w:color="CCCCCC" w:sz="4"/>
              <w:bottom w:val="single" w:color="CCCCCC" w:sz="4"/>
              <w:right w:val="single" w:color="CCCCCC" w:sz="4"/>
            </w:tcBorders>
            <w:shd w:fill="F2F5F8" w:color="auto" w:val="clear"/>
            <w:tcMar>
              <w:top w:type="dxa" w:w="60"/>
              <w:left w:type="dxa" w:w="100"/>
              <w:bottom w:type="dxa" w:w="60"/>
              <w:right w:type="dxa" w:w="100"/>
            </w:tcMar>
          </w:tcPr>
          <w:p>
            <w:pPr>
              <w:spacing w:after="0" w:line="250"/>
            </w:pPr>
            <w:r>
              <w:rPr>
                <w:color w:val="222222"/>
                <w:sz w:val="19"/>
                <w:szCs w:val="19"/>
              </w:rPr>
              <w:t xml:space="preserve">Invoice / ACH billing for large accounts</w:t>
            </w:r>
          </w:p>
        </w:tc>
        <w:tc>
          <w:tcPr>
            <w:tcW w:type="dxa" w:w="3000"/>
            <w:tcBorders>
              <w:top w:val="single" w:color="CCCCCC" w:sz="4"/>
              <w:left w:val="single" w:color="CCCCCC" w:sz="4"/>
              <w:bottom w:val="single" w:color="CCCCCC" w:sz="4"/>
              <w:right w:val="single" w:color="CCCCCC" w:sz="4"/>
            </w:tcBorders>
            <w:shd w:fill="F2F5F8" w:color="auto" w:val="clear"/>
            <w:tcMar>
              <w:top w:type="dxa" w:w="60"/>
              <w:left w:type="dxa" w:w="100"/>
              <w:bottom w:type="dxa" w:w="60"/>
              <w:right w:type="dxa" w:w="100"/>
            </w:tcMar>
          </w:tcPr>
          <w:p>
            <w:pPr>
              <w:spacing w:after="0" w:line="250"/>
            </w:pPr>
            <w:r>
              <w:rPr>
                <w:color w:val="222222"/>
                <w:sz w:val="19"/>
                <w:szCs w:val="19"/>
              </w:rPr>
              <w:t xml:space="preserve">Yes</w:t>
            </w:r>
          </w:p>
        </w:tc>
        <w:tc>
          <w:tcPr>
            <w:tcW w:type="dxa" w:w="2960"/>
            <w:tcBorders>
              <w:top w:val="single" w:color="CCCCCC" w:sz="4"/>
              <w:left w:val="single" w:color="CCCCCC" w:sz="4"/>
              <w:bottom w:val="single" w:color="CCCCCC" w:sz="4"/>
              <w:right w:val="single" w:color="CCCCCC" w:sz="4"/>
            </w:tcBorders>
            <w:shd w:fill="F2F5F8" w:color="auto" w:val="clear"/>
            <w:tcMar>
              <w:top w:type="dxa" w:w="60"/>
              <w:left w:type="dxa" w:w="100"/>
              <w:bottom w:type="dxa" w:w="60"/>
              <w:right w:type="dxa" w:w="100"/>
            </w:tcMar>
          </w:tcPr>
          <w:p>
            <w:pPr>
              <w:spacing w:after="0" w:line="250"/>
            </w:pPr>
            <w:r>
              <w:rPr>
                <w:color w:val="222222"/>
                <w:sz w:val="19"/>
                <w:szCs w:val="19"/>
              </w:rPr>
              <w:t xml:space="preserve">Card and prepaid wallet only</w:t>
            </w:r>
          </w:p>
        </w:tc>
      </w:tr>
      <w:tr>
        <w:tc>
          <w:tcPr>
            <w:tcW w:type="dxa" w:w="340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tcPr>
          <w:p>
            <w:pPr>
              <w:spacing w:after="0" w:line="250"/>
            </w:pPr>
            <w:r>
              <w:rPr>
                <w:color w:val="222222"/>
                <w:sz w:val="19"/>
                <w:szCs w:val="19"/>
              </w:rPr>
              <w:t xml:space="preserve">Multi-currency billing</w:t>
            </w:r>
          </w:p>
        </w:tc>
        <w:tc>
          <w:tcPr>
            <w:tcW w:type="dxa" w:w="300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tcPr>
          <w:p>
            <w:pPr>
              <w:spacing w:after="0" w:line="250"/>
            </w:pPr>
            <w:r>
              <w:rPr>
                <w:color w:val="222222"/>
                <w:sz w:val="19"/>
                <w:szCs w:val="19"/>
              </w:rPr>
              <w:t xml:space="preserve">Yes, in supported regions</w:t>
            </w:r>
          </w:p>
        </w:tc>
        <w:tc>
          <w:tcPr>
            <w:tcW w:type="dxa" w:w="296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tcPr>
          <w:p>
            <w:pPr>
              <w:spacing w:after="0" w:line="250"/>
            </w:pPr>
            <w:r>
              <w:rPr>
                <w:color w:val="222222"/>
                <w:sz w:val="19"/>
                <w:szCs w:val="19"/>
              </w:rPr>
              <w:t xml:space="preserve">US dollars only (fixed in code)</w:t>
            </w:r>
          </w:p>
        </w:tc>
      </w:tr>
      <w:tr>
        <w:tc>
          <w:tcPr>
            <w:tcW w:type="dxa" w:w="3400"/>
            <w:tcBorders>
              <w:top w:val="single" w:color="CCCCCC" w:sz="4"/>
              <w:left w:val="single" w:color="CCCCCC" w:sz="4"/>
              <w:bottom w:val="single" w:color="CCCCCC" w:sz="4"/>
              <w:right w:val="single" w:color="CCCCCC" w:sz="4"/>
            </w:tcBorders>
            <w:shd w:fill="F2F5F8" w:color="auto" w:val="clear"/>
            <w:tcMar>
              <w:top w:type="dxa" w:w="60"/>
              <w:left w:type="dxa" w:w="100"/>
              <w:bottom w:type="dxa" w:w="60"/>
              <w:right w:type="dxa" w:w="100"/>
            </w:tcMar>
          </w:tcPr>
          <w:p>
            <w:pPr>
              <w:spacing w:after="0" w:line="250"/>
            </w:pPr>
            <w:r>
              <w:rPr>
                <w:color w:val="222222"/>
                <w:sz w:val="19"/>
                <w:szCs w:val="19"/>
              </w:rPr>
              <w:t xml:space="preserve">Prepaid credit wallet</w:t>
            </w:r>
          </w:p>
        </w:tc>
        <w:tc>
          <w:tcPr>
            <w:tcW w:type="dxa" w:w="3000"/>
            <w:tcBorders>
              <w:top w:val="single" w:color="CCCCCC" w:sz="4"/>
              <w:left w:val="single" w:color="CCCCCC" w:sz="4"/>
              <w:bottom w:val="single" w:color="CCCCCC" w:sz="4"/>
              <w:right w:val="single" w:color="CCCCCC" w:sz="4"/>
            </w:tcBorders>
            <w:shd w:fill="F2F5F8" w:color="auto" w:val="clear"/>
            <w:tcMar>
              <w:top w:type="dxa" w:w="60"/>
              <w:left w:type="dxa" w:w="100"/>
              <w:bottom w:type="dxa" w:w="60"/>
              <w:right w:type="dxa" w:w="100"/>
            </w:tcMar>
          </w:tcPr>
          <w:p>
            <w:pPr>
              <w:spacing w:after="0" w:line="250"/>
            </w:pPr>
            <w:r>
              <w:rPr>
                <w:color w:val="222222"/>
                <w:sz w:val="19"/>
                <w:szCs w:val="19"/>
              </w:rPr>
              <w:t xml:space="preserve">Not part of the model</w:t>
            </w:r>
          </w:p>
        </w:tc>
        <w:tc>
          <w:tcPr>
            <w:tcW w:type="dxa" w:w="2960"/>
            <w:tcBorders>
              <w:top w:val="single" w:color="CCCCCC" w:sz="4"/>
              <w:left w:val="single" w:color="CCCCCC" w:sz="4"/>
              <w:bottom w:val="single" w:color="CCCCCC" w:sz="4"/>
              <w:right w:val="single" w:color="CCCCCC" w:sz="4"/>
            </w:tcBorders>
            <w:shd w:fill="F2F5F8" w:color="auto" w:val="clear"/>
            <w:tcMar>
              <w:top w:type="dxa" w:w="60"/>
              <w:left w:type="dxa" w:w="100"/>
              <w:bottom w:type="dxa" w:w="60"/>
              <w:right w:type="dxa" w:w="100"/>
            </w:tcMar>
          </w:tcPr>
          <w:p>
            <w:pPr>
              <w:spacing w:after="0" w:line="250"/>
            </w:pPr>
            <w:r>
              <w:rPr>
                <w:color w:val="222222"/>
                <w:sz w:val="19"/>
                <w:szCs w:val="19"/>
              </w:rPr>
              <w:t xml:space="preserve">Yes</w:t>
            </w:r>
          </w:p>
        </w:tc>
      </w:tr>
      <w:tr>
        <w:tc>
          <w:tcPr>
            <w:tcW w:type="dxa" w:w="340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tcPr>
          <w:p>
            <w:pPr>
              <w:spacing w:after="0" w:line="250"/>
            </w:pPr>
            <w:r>
              <w:rPr>
                <w:color w:val="222222"/>
                <w:sz w:val="19"/>
                <w:szCs w:val="19"/>
              </w:rPr>
              <w:t xml:space="preserve">Automatic top-up &amp; low-balance alert</w:t>
            </w:r>
          </w:p>
        </w:tc>
        <w:tc>
          <w:tcPr>
            <w:tcW w:type="dxa" w:w="300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tcPr>
          <w:p>
            <w:pPr>
              <w:spacing w:after="0" w:line="250"/>
            </w:pPr>
            <w:r>
              <w:rPr>
                <w:color w:val="222222"/>
                <w:sz w:val="19"/>
                <w:szCs w:val="19"/>
              </w:rPr>
              <w:t xml:space="preserve">Not part of the model</w:t>
            </w:r>
          </w:p>
        </w:tc>
        <w:tc>
          <w:tcPr>
            <w:tcW w:type="dxa" w:w="296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tcPr>
          <w:p>
            <w:pPr>
              <w:spacing w:after="0" w:line="250"/>
            </w:pPr>
            <w:r>
              <w:rPr>
                <w:color w:val="222222"/>
                <w:sz w:val="19"/>
                <w:szCs w:val="19"/>
              </w:rPr>
              <w:t xml:space="preserve">Yes</w:t>
            </w:r>
          </w:p>
        </w:tc>
      </w:tr>
      <w:tr>
        <w:tc>
          <w:tcPr>
            <w:tcW w:type="dxa" w:w="3400"/>
            <w:tcBorders>
              <w:top w:val="single" w:color="CCCCCC" w:sz="4"/>
              <w:left w:val="single" w:color="CCCCCC" w:sz="4"/>
              <w:bottom w:val="single" w:color="CCCCCC" w:sz="4"/>
              <w:right w:val="single" w:color="CCCCCC" w:sz="4"/>
            </w:tcBorders>
            <w:shd w:fill="F2F5F8" w:color="auto" w:val="clear"/>
            <w:tcMar>
              <w:top w:type="dxa" w:w="60"/>
              <w:left w:type="dxa" w:w="100"/>
              <w:bottom w:type="dxa" w:w="60"/>
              <w:right w:type="dxa" w:w="100"/>
            </w:tcMar>
          </w:tcPr>
          <w:p>
            <w:pPr>
              <w:spacing w:after="0" w:line="250"/>
            </w:pPr>
            <w:r>
              <w:rPr>
                <w:color w:val="222222"/>
                <w:sz w:val="19"/>
                <w:szCs w:val="19"/>
              </w:rPr>
              <w:t xml:space="preserve">Per-message cost shown before sending</w:t>
            </w:r>
          </w:p>
        </w:tc>
        <w:tc>
          <w:tcPr>
            <w:tcW w:type="dxa" w:w="3000"/>
            <w:tcBorders>
              <w:top w:val="single" w:color="CCCCCC" w:sz="4"/>
              <w:left w:val="single" w:color="CCCCCC" w:sz="4"/>
              <w:bottom w:val="single" w:color="CCCCCC" w:sz="4"/>
              <w:right w:val="single" w:color="CCCCCC" w:sz="4"/>
            </w:tcBorders>
            <w:shd w:fill="F2F5F8" w:color="auto" w:val="clear"/>
            <w:tcMar>
              <w:top w:type="dxa" w:w="60"/>
              <w:left w:type="dxa" w:w="100"/>
              <w:bottom w:type="dxa" w:w="60"/>
              <w:right w:type="dxa" w:w="100"/>
            </w:tcMar>
          </w:tcPr>
          <w:p>
            <w:pPr>
              <w:spacing w:after="0" w:line="250"/>
            </w:pPr>
            <w:r>
              <w:rPr>
                <w:color w:val="222222"/>
                <w:sz w:val="19"/>
                <w:szCs w:val="19"/>
              </w:rPr>
              <w:t xml:space="preserve">Not surfaced</w:t>
            </w:r>
          </w:p>
        </w:tc>
        <w:tc>
          <w:tcPr>
            <w:tcW w:type="dxa" w:w="2960"/>
            <w:tcBorders>
              <w:top w:val="single" w:color="CCCCCC" w:sz="4"/>
              <w:left w:val="single" w:color="CCCCCC" w:sz="4"/>
              <w:bottom w:val="single" w:color="CCCCCC" w:sz="4"/>
              <w:right w:val="single" w:color="CCCCCC" w:sz="4"/>
            </w:tcBorders>
            <w:shd w:fill="F2F5F8" w:color="auto" w:val="clear"/>
            <w:tcMar>
              <w:top w:type="dxa" w:w="60"/>
              <w:left w:type="dxa" w:w="100"/>
              <w:bottom w:type="dxa" w:w="60"/>
              <w:right w:type="dxa" w:w="100"/>
            </w:tcMar>
          </w:tcPr>
          <w:p>
            <w:pPr>
              <w:spacing w:after="0" w:line="250"/>
            </w:pPr>
            <w:r>
              <w:rPr>
                <w:color w:val="222222"/>
                <w:sz w:val="19"/>
                <w:szCs w:val="19"/>
              </w:rPr>
              <w:t xml:space="preserve">Yes</w:t>
            </w:r>
          </w:p>
        </w:tc>
      </w:tr>
    </w:tbl>
    <w:p>
      <w:pPr>
        <w:spacing w:after="160" w:line="300"/>
        <w:jc w:val="both"/>
      </w:pPr>
      <w:r>
        <w:t xml:space="preserve">The bottom three rows are there on purpose, to keep the comparison fair. They are things our billing does that Dialpad’s does not, and they are a direct consequence of the wallet model. A customer who wants a prepaid, pay-as-you-go phone account with tight control over a running balance is arguably better served by us; a customer who wants a predictable per-seat subscription, a clean PDF invoice every month, and to buy everything themselves is, today, better served by Dialpad. The gaps above are the ones to close if the aim is to win the second kind of customer without giving up the first.</w:t>
      </w:r>
    </w:p>
    <w:p>
      <w:pPr>
        <w:pStyle w:val="Heading1"/>
        <w:spacing w:after="120" w:before="300"/>
      </w:pPr>
      <w:r>
        <w:t xml:space="preserve">What is not built yet, in one place</w:t>
      </w:r>
    </w:p>
    <w:p>
      <w:pPr>
        <w:spacing w:after="160" w:line="300"/>
        <w:jc w:val="both"/>
      </w:pPr>
      <w:r>
        <w:t xml:space="preserve">Pulling the unfinished items together, and separating the things the app openly labels as coming from the things that are simply absent:</w:t>
      </w:r>
    </w:p>
    <w:p>
      <w:pPr>
        <w:spacing w:after="160" w:line="300"/>
        <w:jc w:val="both"/>
      </w:pPr>
      <w:r>
        <w:rPr>
          <w:b/>
          <w:bCs/>
        </w:rPr>
        <w:t xml:space="preserve">Openly marked as not yet available: </w:t>
      </w:r>
      <w:r>
        <w:t xml:space="preserve">a formal, server-generated PDF invoice; buying add-ons from inside the product; splitting and reporting spend by cost centre; and counting AI minutes, AI replies, toll-free minutes, picture messages and transcription against their allowances on the Usage screen.</w:t>
      </w:r>
    </w:p>
    <w:p>
      <w:pPr>
        <w:spacing w:after="160" w:line="300"/>
        <w:jc w:val="both"/>
      </w:pPr>
      <w:r>
        <w:rPr>
          <w:b/>
          <w:bCs/>
        </w:rPr>
        <w:t xml:space="preserve">Present but limited: </w:t>
      </w:r>
      <w:r>
        <w:t xml:space="preserve">the top-up amount is fixed to a set of buttons with no free-typed option; the statement has no filter or export; and the dialpad’s own balance chip is disabled, leaving the header as the only place the balance appears in the phone.</w:t>
      </w:r>
    </w:p>
    <w:p>
      <w:pPr>
        <w:spacing w:after="160" w:line="300"/>
        <w:jc w:val="both"/>
      </w:pPr>
      <w:r>
        <w:rPr>
          <w:b/>
          <w:bCs/>
        </w:rPr>
        <w:t xml:space="preserve">Absent without comment: </w:t>
      </w:r>
      <w:r>
        <w:t xml:space="preserve">any cost, rate or running balance for a voice call inside the phone; a real-time balance decrement as a call runs; and any front-end block on placing a call with insufficient funds.</w:t>
      </w:r>
    </w:p>
    <w:p>
      <w:pPr>
        <w:pStyle w:val="Heading1"/>
        <w:spacing w:after="120" w:before="300"/>
      </w:pPr>
      <w:r>
        <w:t xml:space="preserve">Rough edges worth fixing</w:t>
      </w:r>
    </w:p>
    <w:p>
      <w:pPr>
        <w:spacing w:after="160" w:line="300"/>
        <w:jc w:val="both"/>
      </w:pPr>
      <w:r>
        <w:t xml:space="preserve">Most of what follows is small, but a few of these are user-facing. The signup payment failures described above are the most important, because a customer whose card is declined currently sees nothing. After that: the card-holder name is asked for and required when adding a card, but then never sent to Stripe or the server, so it is collected and thrown away. Saved cards always show a Visa logo regardless of the real brand. The floating plan widget checks the “payment verified” flag in eight different places in the response, which points at a backend that returns the field inconsistently and is worth tidying at the source. The check for whether an account is on the Starter plan matches the plan name as a string, so renaming the plan would quietly break it.</w:t>
      </w:r>
    </w:p>
    <w:p>
      <w:pPr>
        <w:spacing w:after="160" w:line="300"/>
        <w:jc w:val="both"/>
      </w:pPr>
      <w:r>
        <w:t xml:space="preserve">There is also the ordinary housekeeping of a codebase under active work: a handful of leftover debugging lines that print to the console on the top-up, storage-purchase and signup paths; several large commented-out blocks in the plan and renewal screens; a few stray characters inside styling strings; and a couple of misspelled variable names. And a point worth keeping in mind rather than fixing today: the plan and add-on prices are defined in the front end, which means they can drift from what the server actually charges if the two are changed independently.</w:t>
      </w:r>
    </w:p>
    <w:p>
      <w:pPr>
        <w:pStyle w:val="Heading1"/>
        <w:spacing w:after="120" w:before="300"/>
      </w:pPr>
      <w:r>
        <w:t xml:space="preserve">If we were to prioritise</w:t>
      </w:r>
    </w:p>
    <w:p>
      <w:pPr>
        <w:spacing w:after="160" w:line="300"/>
        <w:jc w:val="both"/>
      </w:pPr>
      <w:r>
        <w:t xml:space="preserve">Were this area to get another round of work, the order that would most improve it is roughly this. Fix the silent signup payment failures first, because that one is losing customers quietly. Build the invoice-document service so finance teams get a real PDF. Meter the services that already show an allowance—AI, toll-free, picture messages, transcription—so the Usage screen is complete rather than mostly complete. Give voice calls the same cost visibility that text messages already have inside the phone, and re-enable the dialpad balance chip while doing so. Connect the cost-centre engine, which is written and waiting, to the reports and invoices. And when there is a properly priced backend endpoint, turn the Add-ons screen into the shop it was clearly designed to be. The smaller cleanups—the console lines, the card brand, the discarded name, the price drift—can ride along with whichever of these they touch.</w:t>
      </w:r>
    </w:p>
    <w:p>
      <w:pPr>
        <w:pBdr>
          <w:bottom w:val="single" w:color="BBBBBB" w:sz="6"/>
        </w:pBdr>
        <w:spacing w:after="120" w:before="160"/>
      </w:pPr>
    </w:p>
    <w:p>
      <w:pPr>
        <w:spacing w:after="160" w:line="300"/>
        <w:jc w:val="left"/>
      </w:pPr>
      <w:r>
        <w:rPr>
          <w:i/>
          <w:iCs/>
        </w:rPr>
        <w:t xml:space="preserve">Based on a complete read of the billing source in /root/mycountrymobile-web on 3 September 2026, together with the billing endpoints and the way billing appears in the phone app. The backend services themselves were not read; where the server’s behaviour is described it is inferred from the calls the front end makes.</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Georgia" w:cs="Georgia" w:eastAsia="Georgia" w:hAnsi="Georgia"/>
      <w:b/>
      <w:bCs/>
      <w:color w:val="1A3A5C"/>
      <w:sz w:val="30"/>
      <w:szCs w:val="30"/>
    </w:rPr>
  </w:style>
  <w:style w:type="paragraph" w:styleId="Heading2">
    <w:name w:val="Heading 2"/>
    <w:basedOn w:val="Normal"/>
    <w:next w:val="Normal"/>
    <w:qFormat/>
    <w:pPr>
      <w:spacing w:after="90" w:before="200"/>
      <w:outlineLvl w:val="1"/>
    </w:pPr>
    <w:rPr>
      <w:rFonts w:ascii="Georgia" w:cs="Georgia" w:eastAsia="Georgia" w:hAnsi="Georgia"/>
      <w:b/>
      <w:bCs/>
      <w:color w:val="2E5A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Billing review</dc:title>
  <dc:creator>Billing review</dc:creator>
  <cp:lastModifiedBy>Un-named</cp:lastModifiedBy>
  <cp:revision>1</cp:revision>
  <dcterms:created xsi:type="dcterms:W3CDTF">2026-09-03T06:10:56.680Z</dcterms:created>
  <dcterms:modified xsi:type="dcterms:W3CDTF">2026-09-03T06:10:56.680Z</dcterms:modified>
</cp:coreProperties>
</file>

<file path=docProps/custom.xml><?xml version="1.0" encoding="utf-8"?>
<Properties xmlns="http://schemas.openxmlformats.org/officeDocument/2006/custom-properties" xmlns:vt="http://schemas.openxmlformats.org/officeDocument/2006/docPropsVTypes"/>
</file>