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50"/>
      </w:pPr>
    </w:p>
    <w:p>
      <w:pPr>
        <w:spacing w:after="60"/>
        <w:jc w:val="center"/>
      </w:pPr>
      <w:r>
        <w:rPr>
          <w:b/>
          <w:bCs/>
          <w:color w:val="17365D"/>
          <w:sz w:val="26"/>
          <w:szCs w:val="26"/>
        </w:rPr>
        <w:t xml:space="preserve">MCM — My Country Mobile</w:t>
      </w:r>
    </w:p>
    <w:p>
      <w:pPr>
        <w:spacing w:after="20"/>
        <w:jc w:val="center"/>
      </w:pPr>
      <w:r>
        <w:rPr>
          <w:b/>
          <w:bCs/>
          <w:color w:val="222222"/>
          <w:sz w:val="44"/>
          <w:szCs w:val="44"/>
        </w:rPr>
        <w:t xml:space="preserve">Billing — Deep Audit vs Dialpad</w:t>
      </w:r>
    </w:p>
    <w:p>
      <w:pPr>
        <w:spacing w:after="300"/>
        <w:jc w:val="center"/>
      </w:pPr>
      <w:r>
        <w:rPr>
          <w:color w:val="666666"/>
          <w:sz w:val="22"/>
          <w:szCs w:val="22"/>
        </w:rPr>
        <w:t xml:space="preserve">Usage, add-ons, payment, and every other billing surface — checked feature-by-feature against Dialpad</w:t>
      </w:r>
    </w:p>
    <w:p>
      <w:pPr>
        <w:spacing w:after="30"/>
        <w:jc w:val="center"/>
      </w:pPr>
      <w:r>
        <w:rPr>
          <w:color w:val="333333"/>
          <w:sz w:val="20"/>
          <w:szCs w:val="20"/>
        </w:rPr>
        <w:t xml:space="preserve">Reference:  help.dialpad.com/docs/billing and its 19 linked billing articles (read live, 4 Sep 2026)</w:t>
      </w:r>
    </w:p>
    <w:p>
      <w:pPr>
        <w:spacing w:after="30"/>
        <w:jc w:val="center"/>
      </w:pPr>
      <w:r>
        <w:rPr>
          <w:color w:val="333333"/>
          <w:sz w:val="20"/>
          <w:szCs w:val="20"/>
        </w:rPr>
        <w:t xml:space="preserve">Target:  unified.mycountrymobile.com  —  /root/mycountrymobile-web</w:t>
      </w:r>
    </w:p>
    <w:p>
      <w:pPr>
        <w:spacing w:after="30"/>
        <w:jc w:val="center"/>
      </w:pPr>
      <w:r>
        <w:rPr>
          <w:color w:val="333333"/>
          <w:sz w:val="20"/>
          <w:szCs w:val="20"/>
        </w:rPr>
        <w:t xml:space="preserve">Scope:  Billing summary, invoices, licenses/seats, add-ons, usage &amp; credits, analytics,</w:t>
      </w:r>
    </w:p>
    <w:p>
      <w:pPr>
        <w:spacing w:after="30"/>
        <w:jc w:val="center"/>
      </w:pPr>
      <w:r>
        <w:rPr>
          <w:color w:val="333333"/>
          <w:sz w:val="20"/>
          <w:szCs w:val="20"/>
        </w:rPr>
        <w:t xml:space="preserve">         auto-recharge, cost centers, card verification, license pools, flex licenses,</w:t>
      </w:r>
    </w:p>
    <w:p>
      <w:pPr>
        <w:spacing w:after="30"/>
        <w:jc w:val="center"/>
      </w:pPr>
      <w:r>
        <w:rPr>
          <w:color w:val="333333"/>
          <w:sz w:val="20"/>
          <w:szCs w:val="20"/>
        </w:rPr>
        <w:t xml:space="preserve">         account hold/suspension, cancellation &amp; refunds, payment methods</w:t>
      </w:r>
    </w:p>
    <w:p>
      <w:pPr>
        <w:spacing w:after="30"/>
        <w:jc w:val="center"/>
      </w:pPr>
      <w:r>
        <w:rPr>
          <w:color w:val="333333"/>
          <w:sz w:val="20"/>
          <w:szCs w:val="20"/>
        </w:rPr>
        <w:t xml:space="preserve">Prepared:  4 September 2026</w:t>
      </w:r>
    </w:p>
    <w:p>
      <w:r>
        <w:br w:type="page"/>
      </w:r>
    </w:p>
    <w:p>
      <w:pPr>
        <w:pStyle w:val="Heading1"/>
        <w:spacing w:after="110" w:before="30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10" w:before="300"/>
      </w:pPr>
      <w:r>
        <w:t xml:space="preserve">1. Executive summary</w:t>
      </w:r>
    </w:p>
    <w:p>
      <w:pPr>
        <w:spacing w:after="120" w:line="288"/>
      </w:pPr>
      <w:r>
        <w:t xml:space="preserve">This audit reads Dialpad's own published billing documentation — the "Billing" hub at </w:t>
      </w:r>
      <w:r>
        <w:rPr>
          <w:rFonts w:ascii="Consolas" w:cs="Consolas" w:eastAsia="Consolas" w:hAnsi="Consolas"/>
          <w:color w:val="17365D"/>
          <w:sz w:val="17"/>
          <w:szCs w:val="17"/>
        </w:rPr>
        <w:t xml:space="preserve">help.dialpad.com/docs/billing</w:t>
      </w:r>
      <w:r>
        <w:t xml:space="preserve"> and its 19 linked articles (billing summary, license billing, add-ons, credits &amp; usage, credits analytics, cost centers, credit-card verification, license pools, flex licenses, on-hold/suspended accounts, cancellation &amp; refunds) — as the reference for what a mature UCaaS billing surface looks like, then checks MCM's live code line-by-line against each capability.</w:t>
      </w:r>
    </w:p>
    <w:p>
      <w:pPr>
        <w:spacing w:after="120" w:line="288"/>
      </w:pPr>
      <w:r>
        <w:t xml:space="preserve">The result is a consistent pattern: </w:t>
      </w:r>
      <w:r>
        <w:rPr>
          <w:b/>
          <w:bCs/>
        </w:rPr>
        <w:t xml:space="preserve">MCM's core commerce is solid</w:t>
      </w:r>
      <w:r>
        <w:t xml:space="preserve"> — plan summary, invoices, seat purchase with proration, auto-recharge, and cancellation are all genuinely wired to working endpoints, matching or approaching Dialpad. But </w:t>
      </w:r>
      <w:r>
        <w:rPr>
          <w:b/>
          <w:bCs/>
        </w:rPr>
        <w:t xml:space="preserve">every "enterprise cost-governance" feature Dialpad ships is missing, coming-soon, or inert code</w:t>
      </w:r>
      <w:r>
        <w:t xml:space="preserve"> in MCM: self-serve add-ons, cost-centre spend allocation, license pools, flex licenses, card micro-verification, granular usage analytics, and invoiced/term billing.</w:t>
      </w:r>
    </w:p>
    <w:p>
      <w:pPr>
        <w:pBdr>
          <w:left w:val="single" w:color="2E5A82" w:sz="18"/>
        </w:pBdr>
        <w:shd w:fill="F3F6FA" w:color="auto" w:val="clear"/>
        <w:spacing w:after="130" w:before="40" w:line="276"/>
        <w:ind w:left="150"/>
      </w:pPr>
      <w:r>
        <w:rPr>
          <w:b/>
          <w:bCs/>
          <w:color w:val="2E5A82"/>
        </w:rPr>
        <w:t xml:space="preserve">Read the status labels as:  </w:t>
      </w:r>
      <w:r>
        <w:rPr>
          <w:b/>
          <w:bCs/>
        </w:rPr>
        <w:t xml:space="preserve">YES-FULL</w:t>
      </w:r>
      <w:r>
        <w:t xml:space="preserve"> = wired to a real backend, works end-to-end.  </w:t>
      </w:r>
      <w:r>
        <w:rPr>
          <w:b/>
          <w:bCs/>
        </w:rPr>
        <w:t xml:space="preserve">YES-PARTIAL</w:t>
      </w:r>
      <w:r>
        <w:t xml:space="preserve"> = exists but thinner than Dialpad's version, or frontend-only.  </w:t>
      </w:r>
      <w:r>
        <w:rPr>
          <w:b/>
          <w:bCs/>
        </w:rPr>
        <w:t xml:space="preserve">COMING-SOON</w:t>
      </w:r>
      <w:r>
        <w:t xml:space="preserve"> = labelled as such on screen.  </w:t>
      </w:r>
      <w:r>
        <w:rPr>
          <w:b/>
          <w:bCs/>
        </w:rPr>
        <w:t xml:space="preserve">NO</w:t>
      </w:r>
      <w:r>
        <w:t xml:space="preserve"> = not found anywhere in the codebase.</w:t>
      </w:r>
    </w:p>
    <w:p>
      <w:pPr>
        <w:pStyle w:val="Heading1"/>
        <w:spacing w:after="110" w:before="300"/>
      </w:pPr>
      <w:r>
        <w:t xml:space="preserve">2. Master comparison — 14 capabilities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900"/>
        <w:gridCol w:w="1550"/>
        <w:gridCol w:w="5310"/>
      </w:tblGrid>
      <w:tr>
        <w:trPr>
          <w:tblHeader/>
        </w:trPr>
        <w:tc>
          <w:tcPr>
            <w:tcW w:type="dxa" w:w="2900"/>
            <w:tcBorders>
              <w:top w:val="single" w:color="C4D2E0" w:sz="4"/>
              <w:left w:val="single" w:color="C4D2E0" w:sz="4"/>
              <w:bottom w:val="single" w:color="C4D2E0" w:sz="4"/>
              <w:right w:val="single" w:color="C4D2E0" w:sz="4"/>
            </w:tcBorders>
            <w:shd w:fill="17365D" w:color="auto" w:val="clear"/>
            <w:tcMar>
              <w:top w:type="dxa" w:w="50"/>
              <w:left w:type="dxa" w:w="80"/>
              <w:bottom w:type="dxa" w:w="50"/>
              <w:right w:type="dxa" w:w="80"/>
            </w:tcMar>
          </w:tcPr>
          <w:p>
            <w:pPr>
              <w:spacing w:after="0" w:line="226"/>
              <w:jc w:val="left"/>
            </w:pPr>
            <w:r>
              <w:rPr>
                <w:b/>
                <w:bCs/>
                <w:color w:val="FFFFFF"/>
                <w:sz w:val="18"/>
                <w:szCs w:val="18"/>
              </w:rPr>
              <w:t xml:space="preserve">Capability</w:t>
            </w:r>
          </w:p>
        </w:tc>
        <w:tc>
          <w:tcPr>
            <w:tcW w:type="dxa" w:w="1550"/>
            <w:tcBorders>
              <w:top w:val="single" w:color="C4D2E0" w:sz="4"/>
              <w:left w:val="single" w:color="C4D2E0" w:sz="4"/>
              <w:bottom w:val="single" w:color="C4D2E0" w:sz="4"/>
              <w:right w:val="single" w:color="C4D2E0" w:sz="4"/>
            </w:tcBorders>
            <w:shd w:fill="17365D" w:color="auto" w:val="clear"/>
            <w:tcMar>
              <w:top w:type="dxa" w:w="50"/>
              <w:left w:type="dxa" w:w="80"/>
              <w:bottom w:type="dxa" w:w="50"/>
              <w:right w:type="dxa" w:w="80"/>
            </w:tcMar>
          </w:tcPr>
          <w:p>
            <w:pPr>
              <w:spacing w:after="0" w:line="226"/>
              <w:jc w:val="left"/>
            </w:pPr>
            <w:r>
              <w:rPr>
                <w:b/>
                <w:bCs/>
                <w:color w:val="FFFFFF"/>
                <w:sz w:val="18"/>
                <w:szCs w:val="18"/>
              </w:rPr>
              <w:t xml:space="preserve">MCM status</w:t>
            </w:r>
          </w:p>
        </w:tc>
        <w:tc>
          <w:tcPr>
            <w:tcW w:type="dxa" w:w="5310"/>
            <w:tcBorders>
              <w:top w:val="single" w:color="C4D2E0" w:sz="4"/>
              <w:left w:val="single" w:color="C4D2E0" w:sz="4"/>
              <w:bottom w:val="single" w:color="C4D2E0" w:sz="4"/>
              <w:right w:val="single" w:color="C4D2E0" w:sz="4"/>
            </w:tcBorders>
            <w:shd w:fill="17365D" w:color="auto" w:val="clear"/>
            <w:tcMar>
              <w:top w:type="dxa" w:w="50"/>
              <w:left w:type="dxa" w:w="80"/>
              <w:bottom w:type="dxa" w:w="50"/>
              <w:right w:type="dxa" w:w="80"/>
            </w:tcMar>
          </w:tcPr>
          <w:p>
            <w:pPr>
              <w:spacing w:after="0" w:line="226"/>
              <w:jc w:val="left"/>
            </w:pPr>
            <w:r>
              <w:rPr>
                <w:b/>
                <w:bCs/>
                <w:color w:val="FFFFFF"/>
                <w:sz w:val="18"/>
                <w:szCs w:val="18"/>
              </w:rPr>
              <w:t xml:space="preserve">What this means</w:t>
            </w:r>
          </w:p>
        </w:tc>
      </w:tr>
      <w:tr>
        <w:tc>
          <w:tcPr>
            <w:tcW w:type="dxa" w:w="290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Billing summary</w:t>
            </w:r>
          </w:p>
        </w:tc>
        <w:tc>
          <w:tcPr>
            <w:tcW w:type="dxa" w:w="1550"/>
            <w:tcBorders>
              <w:top w:val="single" w:color="C4D2E0" w:sz="4"/>
              <w:left w:val="single" w:color="C4D2E0" w:sz="4"/>
              <w:bottom w:val="single" w:color="C4D2E0" w:sz="4"/>
              <w:right w:val="single" w:color="C4D2E0" w:sz="4"/>
            </w:tcBorders>
            <w:shd w:fill="DCEFE1" w:color="auto" w:val="clear"/>
            <w:tcMar>
              <w:top w:type="dxa" w:w="50"/>
              <w:left w:type="dxa" w:w="80"/>
              <w:bottom w:type="dxa" w:w="50"/>
              <w:right w:type="dxa" w:w="80"/>
            </w:tcMar>
          </w:tcPr>
          <w:p>
            <w:pPr>
              <w:spacing w:after="0" w:line="226"/>
              <w:jc w:val="left"/>
            </w:pPr>
            <w:r>
              <w:rPr>
                <w:b/>
                <w:bCs/>
                <w:color w:val="1B7F3B"/>
                <w:sz w:val="16"/>
                <w:szCs w:val="16"/>
              </w:rPr>
              <w:t xml:space="preserve">YES-FULL</w:t>
            </w:r>
          </w:p>
        </w:tc>
        <w:tc>
          <w:tcPr>
            <w:tcW w:type="dxa" w:w="531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Plan, period, next bill, licenses, saved card, recent invoices — all live. Missing: add-ons/promos section, billing-contact field for invoiced accounts.</w:t>
            </w:r>
          </w:p>
        </w:tc>
      </w:tr>
      <w:tr>
        <w:tc>
          <w:tcPr>
            <w:tcW w:type="dxa" w:w="290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Invoice history</w:t>
            </w:r>
          </w:p>
        </w:tc>
        <w:tc>
          <w:tcPr>
            <w:tcW w:type="dxa" w:w="1550"/>
            <w:tcBorders>
              <w:top w:val="single" w:color="C4D2E0" w:sz="4"/>
              <w:left w:val="single" w:color="C4D2E0" w:sz="4"/>
              <w:bottom w:val="single" w:color="C4D2E0" w:sz="4"/>
              <w:right w:val="single" w:color="C4D2E0" w:sz="4"/>
            </w:tcBorders>
            <w:shd w:fill="FBEAD2" w:color="auto" w:val="clear"/>
            <w:tcMar>
              <w:top w:type="dxa" w:w="50"/>
              <w:left w:type="dxa" w:w="80"/>
              <w:bottom w:type="dxa" w:w="50"/>
              <w:right w:type="dxa" w:w="80"/>
            </w:tcMar>
          </w:tcPr>
          <w:p>
            <w:pPr>
              <w:spacing w:after="0" w:line="226"/>
              <w:jc w:val="left"/>
            </w:pPr>
            <w:r>
              <w:rPr>
                <w:b/>
                <w:bCs/>
                <w:color w:val="B45309"/>
                <w:sz w:val="16"/>
                <w:szCs w:val="16"/>
              </w:rPr>
              <w:t xml:space="preserve">YES-PARTIAL</w:t>
            </w:r>
          </w:p>
        </w:tc>
        <w:tc>
          <w:tcPr>
            <w:tcW w:type="dxa" w:w="531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List + summary/detail view real. "PDF" is a client-side screenshot-to-PDF, not a generated document. No notes-on-invoice.</w:t>
            </w:r>
          </w:p>
        </w:tc>
      </w:tr>
      <w:tr>
        <w:tc>
          <w:tcPr>
            <w:tcW w:type="dxa" w:w="290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License/seat purchase</w:t>
            </w:r>
          </w:p>
        </w:tc>
        <w:tc>
          <w:tcPr>
            <w:tcW w:type="dxa" w:w="1550"/>
            <w:tcBorders>
              <w:top w:val="single" w:color="C4D2E0" w:sz="4"/>
              <w:left w:val="single" w:color="C4D2E0" w:sz="4"/>
              <w:bottom w:val="single" w:color="C4D2E0" w:sz="4"/>
              <w:right w:val="single" w:color="C4D2E0" w:sz="4"/>
            </w:tcBorders>
            <w:shd w:fill="DCEFE1" w:color="auto" w:val="clear"/>
            <w:tcMar>
              <w:top w:type="dxa" w:w="50"/>
              <w:left w:type="dxa" w:w="80"/>
              <w:bottom w:type="dxa" w:w="50"/>
              <w:right w:type="dxa" w:w="80"/>
            </w:tcMar>
          </w:tcPr>
          <w:p>
            <w:pPr>
              <w:spacing w:after="0" w:line="226"/>
              <w:jc w:val="left"/>
            </w:pPr>
            <w:r>
              <w:rPr>
                <w:b/>
                <w:bCs/>
                <w:color w:val="1B7F3B"/>
                <w:sz w:val="16"/>
                <w:szCs w:val="16"/>
              </w:rPr>
              <w:t xml:space="preserve">YES-FULL*</w:t>
            </w:r>
          </w:p>
        </w:tc>
        <w:tc>
          <w:tcPr>
            <w:tcW w:type="dxa" w:w="531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*User seats only — proration, scheduled removal + cancel, idle-seat detection all real. No room-phone/shared-line/fax license types.</w:t>
            </w:r>
          </w:p>
        </w:tc>
      </w:tr>
      <w:tr>
        <w:tc>
          <w:tcPr>
            <w:tcW w:type="dxa" w:w="290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Add-on licenses</w:t>
            </w:r>
          </w:p>
        </w:tc>
        <w:tc>
          <w:tcPr>
            <w:tcW w:type="dxa" w:w="1550"/>
            <w:tcBorders>
              <w:top w:val="single" w:color="C4D2E0" w:sz="4"/>
              <w:left w:val="single" w:color="C4D2E0" w:sz="4"/>
              <w:bottom w:val="single" w:color="C4D2E0" w:sz="4"/>
              <w:right w:val="single" w:color="C4D2E0" w:sz="4"/>
            </w:tcBorders>
            <w:shd w:fill="FBEAD2" w:color="auto" w:val="clear"/>
            <w:tcMar>
              <w:top w:type="dxa" w:w="50"/>
              <w:left w:type="dxa" w:w="80"/>
              <w:bottom w:type="dxa" w:w="50"/>
              <w:right w:type="dxa" w:w="80"/>
            </w:tcMar>
          </w:tcPr>
          <w:p>
            <w:pPr>
              <w:spacing w:after="0" w:line="226"/>
              <w:jc w:val="left"/>
            </w:pPr>
            <w:r>
              <w:rPr>
                <w:b/>
                <w:bCs/>
                <w:color w:val="B45309"/>
                <w:sz w:val="16"/>
                <w:szCs w:val="16"/>
              </w:rPr>
              <w:t xml:space="preserve">COMING-SOON</w:t>
            </w:r>
          </w:p>
        </w:tc>
        <w:tc>
          <w:tcPr>
            <w:tcW w:type="dxa" w:w="531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Screen explicitly labelled coming-soon; both purchase and removal require contacting an account manager.</w:t>
            </w:r>
          </w:p>
        </w:tc>
      </w:tr>
      <w:tr>
        <w:tc>
          <w:tcPr>
            <w:tcW w:type="dxa" w:w="290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Usage-based credits/metering</w:t>
            </w:r>
          </w:p>
        </w:tc>
        <w:tc>
          <w:tcPr>
            <w:tcW w:type="dxa" w:w="1550"/>
            <w:tcBorders>
              <w:top w:val="single" w:color="C4D2E0" w:sz="4"/>
              <w:left w:val="single" w:color="C4D2E0" w:sz="4"/>
              <w:bottom w:val="single" w:color="C4D2E0" w:sz="4"/>
              <w:right w:val="single" w:color="C4D2E0" w:sz="4"/>
            </w:tcBorders>
            <w:shd w:fill="FBEAD2" w:color="auto" w:val="clear"/>
            <w:tcMar>
              <w:top w:type="dxa" w:w="50"/>
              <w:left w:type="dxa" w:w="80"/>
              <w:bottom w:type="dxa" w:w="50"/>
              <w:right w:type="dxa" w:w="80"/>
            </w:tcMar>
          </w:tcPr>
          <w:p>
            <w:pPr>
              <w:spacing w:after="0" w:line="226"/>
              <w:jc w:val="left"/>
            </w:pPr>
            <w:r>
              <w:rPr>
                <w:b/>
                <w:bCs/>
                <w:color w:val="B45309"/>
                <w:sz w:val="16"/>
                <w:szCs w:val="16"/>
              </w:rPr>
              <w:t xml:space="preserve">YES-PARTIAL</w:t>
            </w:r>
          </w:p>
        </w:tc>
        <w:tc>
          <w:tcPr>
            <w:tcW w:type="dxa" w:w="531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Domestic per-minute + SMS rate lookups real. No toll-free/international rate split, no fax-per-page, no allowance→wallet→overflow consumption order, no granular per-call CSV (only aggregated).</w:t>
            </w:r>
          </w:p>
        </w:tc>
      </w:tr>
      <w:tr>
        <w:tc>
          <w:tcPr>
            <w:tcW w:type="dxa" w:w="290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Credits/usage analytics</w:t>
            </w:r>
          </w:p>
        </w:tc>
        <w:tc>
          <w:tcPr>
            <w:tcW w:type="dxa" w:w="1550"/>
            <w:tcBorders>
              <w:top w:val="single" w:color="C4D2E0" w:sz="4"/>
              <w:left w:val="single" w:color="C4D2E0" w:sz="4"/>
              <w:bottom w:val="single" w:color="C4D2E0" w:sz="4"/>
              <w:right w:val="single" w:color="C4D2E0" w:sz="4"/>
            </w:tcBorders>
            <w:shd w:fill="FBEAD2" w:color="auto" w:val="clear"/>
            <w:tcMar>
              <w:top w:type="dxa" w:w="50"/>
              <w:left w:type="dxa" w:w="80"/>
              <w:bottom w:type="dxa" w:w="50"/>
              <w:right w:type="dxa" w:w="80"/>
            </w:tcMar>
          </w:tcPr>
          <w:p>
            <w:pPr>
              <w:spacing w:after="0" w:line="226"/>
              <w:jc w:val="left"/>
            </w:pPr>
            <w:r>
              <w:rPr>
                <w:b/>
                <w:bCs/>
                <w:color w:val="B45309"/>
                <w:sz w:val="16"/>
                <w:szCs w:val="16"/>
              </w:rPr>
              <w:t xml:space="preserve">YES-PARTIAL</w:t>
            </w:r>
          </w:p>
        </w:tc>
        <w:tc>
          <w:tcPr>
            <w:tcW w:type="dxa" w:w="531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Date-range filter real. No service-type or subtype filters, no "top service" summary, no daily trend chart, no Excel export.</w:t>
            </w:r>
          </w:p>
        </w:tc>
      </w:tr>
      <w:tr>
        <w:tc>
          <w:tcPr>
            <w:tcW w:type="dxa" w:w="290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Auto-recharge / low balance</w:t>
            </w:r>
          </w:p>
        </w:tc>
        <w:tc>
          <w:tcPr>
            <w:tcW w:type="dxa" w:w="1550"/>
            <w:tcBorders>
              <w:top w:val="single" w:color="C4D2E0" w:sz="4"/>
              <w:left w:val="single" w:color="C4D2E0" w:sz="4"/>
              <w:bottom w:val="single" w:color="C4D2E0" w:sz="4"/>
              <w:right w:val="single" w:color="C4D2E0" w:sz="4"/>
            </w:tcBorders>
            <w:shd w:fill="DCEFE1" w:color="auto" w:val="clear"/>
            <w:tcMar>
              <w:top w:type="dxa" w:w="50"/>
              <w:left w:type="dxa" w:w="80"/>
              <w:bottom w:type="dxa" w:w="50"/>
              <w:right w:type="dxa" w:w="80"/>
            </w:tcMar>
          </w:tcPr>
          <w:p>
            <w:pPr>
              <w:spacing w:after="0" w:line="226"/>
              <w:jc w:val="left"/>
            </w:pPr>
            <w:r>
              <w:rPr>
                <w:b/>
                <w:bCs/>
                <w:color w:val="1B7F3B"/>
                <w:sz w:val="16"/>
                <w:szCs w:val="16"/>
              </w:rPr>
              <w:t xml:space="preserve">YES-FULL</w:t>
            </w:r>
          </w:p>
        </w:tc>
        <w:tc>
          <w:tcPr>
            <w:tcW w:type="dxa" w:w="531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Admin-set threshold + refill amount, automatic card charge — matches Dialpad.</w:t>
            </w:r>
          </w:p>
        </w:tc>
      </w:tr>
      <w:tr>
        <w:tc>
          <w:tcPr>
            <w:tcW w:type="dxa" w:w="290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Cost centers</w:t>
            </w:r>
          </w:p>
        </w:tc>
        <w:tc>
          <w:tcPr>
            <w:tcW w:type="dxa" w:w="1550"/>
            <w:tcBorders>
              <w:top w:val="single" w:color="C4D2E0" w:sz="4"/>
              <w:left w:val="single" w:color="C4D2E0" w:sz="4"/>
              <w:bottom w:val="single" w:color="C4D2E0" w:sz="4"/>
              <w:right w:val="single" w:color="C4D2E0" w:sz="4"/>
            </w:tcBorders>
            <w:shd w:fill="FBEAD2" w:color="auto" w:val="clear"/>
            <w:tcMar>
              <w:top w:type="dxa" w:w="50"/>
              <w:left w:type="dxa" w:w="80"/>
              <w:bottom w:type="dxa" w:w="50"/>
              <w:right w:type="dxa" w:w="80"/>
            </w:tcMar>
          </w:tcPr>
          <w:p>
            <w:pPr>
              <w:spacing w:after="0" w:line="226"/>
              <w:jc w:val="left"/>
            </w:pPr>
            <w:r>
              <w:rPr>
                <w:b/>
                <w:bCs/>
                <w:color w:val="B45309"/>
                <w:sz w:val="16"/>
                <w:szCs w:val="16"/>
              </w:rPr>
              <w:t xml:space="preserve">YES-PARTIAL</w:t>
            </w:r>
          </w:p>
        </w:tc>
        <w:tc>
          <w:tcPr>
            <w:tcW w:type="dxa" w:w="531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CRUD (code/name/status) is real. The allocation engine (percentage split, precedence, CSV reports) exists in code but is wired to nothing — screen says so itself.</w:t>
            </w:r>
          </w:p>
        </w:tc>
      </w:tr>
      <w:tr>
        <w:tc>
          <w:tcPr>
            <w:tcW w:type="dxa" w:w="290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Credit card verification</w:t>
            </w:r>
          </w:p>
        </w:tc>
        <w:tc>
          <w:tcPr>
            <w:tcW w:type="dxa" w:w="1550"/>
            <w:tcBorders>
              <w:top w:val="single" w:color="C4D2E0" w:sz="4"/>
              <w:left w:val="single" w:color="C4D2E0" w:sz="4"/>
              <w:bottom w:val="single" w:color="C4D2E0" w:sz="4"/>
              <w:right w:val="single" w:color="C4D2E0" w:sz="4"/>
            </w:tcBorders>
            <w:shd w:fill="F6DADE" w:color="auto" w:val="clear"/>
            <w:tcMar>
              <w:top w:type="dxa" w:w="50"/>
              <w:left w:type="dxa" w:w="80"/>
              <w:bottom w:type="dxa" w:w="50"/>
              <w:right w:type="dxa" w:w="80"/>
            </w:tcMar>
          </w:tcPr>
          <w:p>
            <w:pPr>
              <w:spacing w:after="0" w:line="226"/>
              <w:jc w:val="left"/>
            </w:pPr>
            <w:r>
              <w:rPr>
                <w:b/>
                <w:bCs/>
                <w:color w:val="B0202E"/>
                <w:sz w:val="16"/>
                <w:szCs w:val="16"/>
              </w:rPr>
              <w:t xml:space="preserve">NO</w:t>
            </w:r>
          </w:p>
        </w:tc>
        <w:tc>
          <w:tcPr>
            <w:tcW w:type="dxa" w:w="531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No micro-charge/last-4/2-attempt verification flow anywhere. Only standard Stripe tokenization.</w:t>
            </w:r>
          </w:p>
        </w:tc>
      </w:tr>
      <w:tr>
        <w:tc>
          <w:tcPr>
            <w:tcW w:type="dxa" w:w="290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License pools</w:t>
            </w:r>
          </w:p>
        </w:tc>
        <w:tc>
          <w:tcPr>
            <w:tcW w:type="dxa" w:w="1550"/>
            <w:tcBorders>
              <w:top w:val="single" w:color="C4D2E0" w:sz="4"/>
              <w:left w:val="single" w:color="C4D2E0" w:sz="4"/>
              <w:bottom w:val="single" w:color="C4D2E0" w:sz="4"/>
              <w:right w:val="single" w:color="C4D2E0" w:sz="4"/>
            </w:tcBorders>
            <w:shd w:fill="F6DADE" w:color="auto" w:val="clear"/>
            <w:tcMar>
              <w:top w:type="dxa" w:w="50"/>
              <w:left w:type="dxa" w:w="80"/>
              <w:bottom w:type="dxa" w:w="50"/>
              <w:right w:type="dxa" w:w="80"/>
            </w:tcMar>
          </w:tcPr>
          <w:p>
            <w:pPr>
              <w:spacing w:after="0" w:line="226"/>
              <w:jc w:val="left"/>
            </w:pPr>
            <w:r>
              <w:rPr>
                <w:b/>
                <w:bCs/>
                <w:color w:val="B0202E"/>
                <w:sz w:val="16"/>
                <w:szCs w:val="16"/>
              </w:rPr>
              <w:t xml:space="preserve">NO</w:t>
            </w:r>
          </w:p>
        </w:tc>
        <w:tc>
          <w:tcPr>
            <w:tcW w:type="dxa" w:w="531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No concept of sharing unused licenses across offices/currency anywhere in the repo.</w:t>
            </w:r>
          </w:p>
        </w:tc>
      </w:tr>
      <w:tr>
        <w:tc>
          <w:tcPr>
            <w:tcW w:type="dxa" w:w="290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Flex licenses</w:t>
            </w:r>
          </w:p>
        </w:tc>
        <w:tc>
          <w:tcPr>
            <w:tcW w:type="dxa" w:w="1550"/>
            <w:tcBorders>
              <w:top w:val="single" w:color="C4D2E0" w:sz="4"/>
              <w:left w:val="single" w:color="C4D2E0" w:sz="4"/>
              <w:bottom w:val="single" w:color="C4D2E0" w:sz="4"/>
              <w:right w:val="single" w:color="C4D2E0" w:sz="4"/>
            </w:tcBorders>
            <w:shd w:fill="F6DADE" w:color="auto" w:val="clear"/>
            <w:tcMar>
              <w:top w:type="dxa" w:w="50"/>
              <w:left w:type="dxa" w:w="80"/>
              <w:bottom w:type="dxa" w:w="50"/>
              <w:right w:type="dxa" w:w="80"/>
            </w:tcMar>
          </w:tcPr>
          <w:p>
            <w:pPr>
              <w:spacing w:after="0" w:line="226"/>
              <w:jc w:val="left"/>
            </w:pPr>
            <w:r>
              <w:rPr>
                <w:b/>
                <w:bCs/>
                <w:color w:val="B0202E"/>
                <w:sz w:val="16"/>
                <w:szCs w:val="16"/>
              </w:rPr>
              <w:t xml:space="preserve">NO</w:t>
            </w:r>
          </w:p>
        </w:tc>
        <w:tc>
          <w:tcPr>
            <w:tcW w:type="dxa" w:w="531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No self-service temporary/no-commitment license tier distinct from standard seats.</w:t>
            </w:r>
          </w:p>
        </w:tc>
      </w:tr>
      <w:tr>
        <w:tc>
          <w:tcPr>
            <w:tcW w:type="dxa" w:w="290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On-hold / suspended states</w:t>
            </w:r>
          </w:p>
        </w:tc>
        <w:tc>
          <w:tcPr>
            <w:tcW w:type="dxa" w:w="1550"/>
            <w:tcBorders>
              <w:top w:val="single" w:color="C4D2E0" w:sz="4"/>
              <w:left w:val="single" w:color="C4D2E0" w:sz="4"/>
              <w:bottom w:val="single" w:color="C4D2E0" w:sz="4"/>
              <w:right w:val="single" w:color="C4D2E0" w:sz="4"/>
            </w:tcBorders>
            <w:shd w:fill="FBEAD2" w:color="auto" w:val="clear"/>
            <w:tcMar>
              <w:top w:type="dxa" w:w="50"/>
              <w:left w:type="dxa" w:w="80"/>
              <w:bottom w:type="dxa" w:w="50"/>
              <w:right w:type="dxa" w:w="80"/>
            </w:tcMar>
          </w:tcPr>
          <w:p>
            <w:pPr>
              <w:spacing w:after="0" w:line="226"/>
              <w:jc w:val="left"/>
            </w:pPr>
            <w:r>
              <w:rPr>
                <w:b/>
                <w:bCs/>
                <w:color w:val="B45309"/>
                <w:sz w:val="16"/>
                <w:szCs w:val="16"/>
              </w:rPr>
              <w:t xml:space="preserve">YES-PARTIAL</w:t>
            </w:r>
          </w:p>
        </w:tc>
        <w:tc>
          <w:tcPr>
            <w:tcW w:type="dxa" w:w="531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Distinct ON_HOLD vs SUSPENDED banners with resolution link are real. IVR caller announcements live outside this repo (on the switch) — not verifiable here.</w:t>
            </w:r>
          </w:p>
        </w:tc>
      </w:tr>
      <w:tr>
        <w:tc>
          <w:tcPr>
            <w:tcW w:type="dxa" w:w="290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Cancellation &amp; refund policy</w:t>
            </w:r>
          </w:p>
        </w:tc>
        <w:tc>
          <w:tcPr>
            <w:tcW w:type="dxa" w:w="1550"/>
            <w:tcBorders>
              <w:top w:val="single" w:color="C4D2E0" w:sz="4"/>
              <w:left w:val="single" w:color="C4D2E0" w:sz="4"/>
              <w:bottom w:val="single" w:color="C4D2E0" w:sz="4"/>
              <w:right w:val="single" w:color="C4D2E0" w:sz="4"/>
            </w:tcBorders>
            <w:shd w:fill="FBEAD2" w:color="auto" w:val="clear"/>
            <w:tcMar>
              <w:top w:type="dxa" w:w="50"/>
              <w:left w:type="dxa" w:w="80"/>
              <w:bottom w:type="dxa" w:w="50"/>
              <w:right w:type="dxa" w:w="80"/>
            </w:tcMar>
          </w:tcPr>
          <w:p>
            <w:pPr>
              <w:spacing w:after="0" w:line="226"/>
              <w:jc w:val="left"/>
            </w:pPr>
            <w:r>
              <w:rPr>
                <w:b/>
                <w:bCs/>
                <w:color w:val="B45309"/>
                <w:sz w:val="16"/>
                <w:szCs w:val="16"/>
              </w:rPr>
              <w:t xml:space="preserve">YES-PARTIAL</w:t>
            </w:r>
          </w:p>
        </w:tc>
        <w:tc>
          <w:tcPr>
            <w:tcW w:type="dxa" w:w="531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Self-service cancel is real. No 3-day refund window, no annual no-refund clause, no credit-expiry-on-cancel logic or copy.</w:t>
            </w:r>
          </w:p>
        </w:tc>
      </w:tr>
      <w:tr>
        <w:tc>
          <w:tcPr>
            <w:tcW w:type="dxa" w:w="290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Payment methods</w:t>
            </w:r>
          </w:p>
        </w:tc>
        <w:tc>
          <w:tcPr>
            <w:tcW w:type="dxa" w:w="1550"/>
            <w:tcBorders>
              <w:top w:val="single" w:color="C4D2E0" w:sz="4"/>
              <w:left w:val="single" w:color="C4D2E0" w:sz="4"/>
              <w:bottom w:val="single" w:color="C4D2E0" w:sz="4"/>
              <w:right w:val="single" w:color="C4D2E0" w:sz="4"/>
            </w:tcBorders>
            <w:shd w:fill="FBEAD2" w:color="auto" w:val="clear"/>
            <w:tcMar>
              <w:top w:type="dxa" w:w="50"/>
              <w:left w:type="dxa" w:w="80"/>
              <w:bottom w:type="dxa" w:w="50"/>
              <w:right w:type="dxa" w:w="80"/>
            </w:tcMar>
          </w:tcPr>
          <w:p>
            <w:pPr>
              <w:spacing w:after="0" w:line="226"/>
              <w:jc w:val="left"/>
            </w:pPr>
            <w:r>
              <w:rPr>
                <w:b/>
                <w:bCs/>
                <w:color w:val="B45309"/>
                <w:sz w:val="16"/>
                <w:szCs w:val="16"/>
              </w:rPr>
              <w:t xml:space="preserve">YES-PARTIAL</w:t>
            </w:r>
          </w:p>
        </w:tc>
        <w:tc>
          <w:tcPr>
            <w:tcW w:type="dxa" w:w="531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Stripe card entry works. No invoiced/term billing, no wire/check path, no postal-code+CVC paired verification.</w:t>
            </w:r>
          </w:p>
        </w:tc>
      </w:tr>
    </w:tbl>
    <w:p>
      <w:pPr>
        <w:pBdr>
          <w:left w:val="single" w:color="B0202E" w:sz="18"/>
        </w:pBdr>
        <w:shd w:fill="F3F6FA" w:color="auto" w:val="clear"/>
        <w:spacing w:after="130" w:before="40" w:line="276"/>
        <w:ind w:left="150"/>
      </w:pPr>
      <w:r>
        <w:rPr>
          <w:b/>
          <w:bCs/>
          <w:color w:val="B0202E"/>
        </w:rPr>
        <w:t xml:space="preserve">Important caveat on the table above:  </w:t>
      </w:r>
      <w:r>
        <w:t xml:space="preserve">Everything in Section 2 was checked by reading the frontend code — it shows what screens and API calls exist, not what actually happens on the live database and servers. Sections 3 and 4 go one layer deeper, using a live production-database and server audit, and change the picture in several places — notably auto-recharge and license enforcement, both marked YES-FULL above.</w:t>
      </w:r>
    </w:p>
    <w:p>
      <w:r>
        <w:br w:type="page"/>
      </w:r>
    </w:p>
    <w:p>
      <w:pPr>
        <w:pStyle w:val="Heading1"/>
        <w:spacing w:after="110" w:before="300"/>
      </w:pPr>
      <w:r>
        <w:t xml:space="preserve">3. Production findings — what the database and live servers show</w:t>
      </w:r>
    </w:p>
    <w:p>
      <w:pPr>
        <w:spacing w:after="120" w:line="288"/>
      </w:pPr>
      <w:r>
        <w:t xml:space="preserve">A separate, deeper audit went beyond the frontend and queried the live production database, the live application servers, and the backend source directly. Its headline: the shop works — a customer can pick a plan, pay by card, and the account turns on — but almost everything after the first payment is thinner than it looks, and a few things are actively risky.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700"/>
        <w:gridCol w:w="5560"/>
        <w:gridCol w:w="1500"/>
      </w:tblGrid>
      <w:tr>
        <w:trPr>
          <w:tblHeader/>
        </w:trPr>
        <w:tc>
          <w:tcPr>
            <w:tcW w:type="dxa" w:w="1700"/>
            <w:tcBorders>
              <w:top w:val="single" w:color="C4D2E0" w:sz="4"/>
              <w:left w:val="single" w:color="C4D2E0" w:sz="4"/>
              <w:bottom w:val="single" w:color="C4D2E0" w:sz="4"/>
              <w:right w:val="single" w:color="C4D2E0" w:sz="4"/>
            </w:tcBorders>
            <w:shd w:fill="17365D" w:color="auto" w:val="clear"/>
            <w:tcMar>
              <w:top w:type="dxa" w:w="50"/>
              <w:left w:type="dxa" w:w="80"/>
              <w:bottom w:type="dxa" w:w="50"/>
              <w:right w:type="dxa" w:w="80"/>
            </w:tcMar>
          </w:tcPr>
          <w:p>
            <w:pPr>
              <w:spacing w:after="0" w:line="226"/>
              <w:jc w:val="left"/>
            </w:pPr>
            <w:r>
              <w:rPr>
                <w:b/>
                <w:bCs/>
                <w:color w:val="FFFFFF"/>
                <w:sz w:val="18"/>
                <w:szCs w:val="18"/>
              </w:rPr>
              <w:t xml:space="preserve">Metric</w:t>
            </w:r>
          </w:p>
        </w:tc>
        <w:tc>
          <w:tcPr>
            <w:tcW w:type="dxa" w:w="5560"/>
            <w:tcBorders>
              <w:top w:val="single" w:color="C4D2E0" w:sz="4"/>
              <w:left w:val="single" w:color="C4D2E0" w:sz="4"/>
              <w:bottom w:val="single" w:color="C4D2E0" w:sz="4"/>
              <w:right w:val="single" w:color="C4D2E0" w:sz="4"/>
            </w:tcBorders>
            <w:shd w:fill="17365D" w:color="auto" w:val="clear"/>
            <w:tcMar>
              <w:top w:type="dxa" w:w="50"/>
              <w:left w:type="dxa" w:w="80"/>
              <w:bottom w:type="dxa" w:w="50"/>
              <w:right w:type="dxa" w:w="80"/>
            </w:tcMar>
          </w:tcPr>
          <w:p>
            <w:pPr>
              <w:spacing w:after="0" w:line="226"/>
              <w:jc w:val="left"/>
            </w:pPr>
            <w:r>
              <w:rPr>
                <w:b/>
                <w:bCs/>
                <w:color w:val="FFFFFF"/>
                <w:sz w:val="18"/>
                <w:szCs w:val="18"/>
              </w:rPr>
              <w:t xml:space="preserve">What was found</w:t>
            </w:r>
          </w:p>
        </w:tc>
        <w:tc>
          <w:tcPr>
            <w:tcW w:type="dxa" w:w="1500"/>
            <w:tcBorders>
              <w:top w:val="single" w:color="C4D2E0" w:sz="4"/>
              <w:left w:val="single" w:color="C4D2E0" w:sz="4"/>
              <w:bottom w:val="single" w:color="C4D2E0" w:sz="4"/>
              <w:right w:val="single" w:color="C4D2E0" w:sz="4"/>
            </w:tcBorders>
            <w:shd w:fill="17365D" w:color="auto" w:val="clear"/>
            <w:tcMar>
              <w:top w:type="dxa" w:w="50"/>
              <w:left w:type="dxa" w:w="80"/>
              <w:bottom w:type="dxa" w:w="50"/>
              <w:right w:type="dxa" w:w="80"/>
            </w:tcMar>
          </w:tcPr>
          <w:p>
            <w:pPr>
              <w:spacing w:after="0" w:line="226"/>
              <w:jc w:val="left"/>
            </w:pPr>
            <w:r>
              <w:rPr>
                <w:b/>
                <w:bCs/>
                <w:color w:val="FFFFFF"/>
                <w:sz w:val="18"/>
                <w:szCs w:val="18"/>
              </w:rPr>
              <w:t xml:space="preserve"/>
            </w:r>
          </w:p>
        </w:tc>
      </w:tr>
      <w:tr>
        <w:tc>
          <w:tcPr>
            <w:tcW w:type="dxa" w:w="170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23</w:t>
            </w:r>
          </w:p>
        </w:tc>
        <w:tc>
          <w:tcPr>
            <w:tcW w:type="dxa" w:w="556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companies live on the production platform</w:t>
            </w:r>
          </w:p>
        </w:tc>
        <w:tc>
          <w:tcPr>
            <w:tcW w:type="dxa" w:w="150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
            </w:r>
          </w:p>
        </w:tc>
      </w:tr>
      <w:tr>
        <w:tc>
          <w:tcPr>
            <w:tcW w:type="dxa" w:w="170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156 / 0</w:t>
            </w:r>
          </w:p>
        </w:tc>
        <w:tc>
          <w:tcPr>
            <w:tcW w:type="dxa" w:w="556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156 bills ever written; 0 of them carry any tax</w:t>
            </w:r>
          </w:p>
        </w:tc>
        <w:tc>
          <w:tcPr>
            <w:tcW w:type="dxa" w:w="150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
            </w:r>
          </w:p>
        </w:tc>
      </w:tr>
      <w:tr>
        <w:tc>
          <w:tcPr>
            <w:tcW w:type="dxa" w:w="170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78</w:t>
            </w:r>
          </w:p>
        </w:tc>
        <w:tc>
          <w:tcPr>
            <w:tcW w:type="dxa" w:w="556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failed-charge rows in the database; zero of them triggered a customer email</w:t>
            </w:r>
          </w:p>
        </w:tc>
        <w:tc>
          <w:tcPr>
            <w:tcW w:type="dxa" w:w="150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
            </w:r>
          </w:p>
        </w:tc>
      </w:tr>
      <w:tr>
        <w:tc>
          <w:tcPr>
            <w:tcW w:type="dxa" w:w="170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3</w:t>
            </w:r>
          </w:p>
        </w:tc>
        <w:tc>
          <w:tcPr>
            <w:tcW w:type="dxa" w:w="556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application servers running the same nightly billing cron simultaneously against one database</w:t>
            </w:r>
          </w:p>
        </w:tc>
        <w:tc>
          <w:tcPr>
            <w:tcW w:type="dxa" w:w="150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
            </w:r>
          </w:p>
        </w:tc>
      </w:tr>
      <w:tr>
        <w:tc>
          <w:tcPr>
            <w:tcW w:type="dxa" w:w="170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$0.00</w:t>
            </w:r>
          </w:p>
        </w:tc>
        <w:tc>
          <w:tcPr>
            <w:tcW w:type="dxa" w:w="556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of call, SMS, or fax usage ever billed, on any company, ever</w:t>
            </w:r>
          </w:p>
        </w:tc>
        <w:tc>
          <w:tcPr>
            <w:tcW w:type="dxa" w:w="150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
            </w:r>
          </w:p>
        </w:tc>
      </w:tr>
      <w:tr>
        <w:tc>
          <w:tcPr>
            <w:tcW w:type="dxa" w:w="170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$0.84</w:t>
            </w:r>
          </w:p>
        </w:tc>
        <w:tc>
          <w:tcPr>
            <w:tcW w:type="dxa" w:w="556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of AI usage billed — the one metering path that actually works end to end</w:t>
            </w:r>
          </w:p>
        </w:tc>
        <w:tc>
          <w:tcPr>
            <w:tcW w:type="dxa" w:w="150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
            </w:r>
          </w:p>
        </w:tc>
      </w:tr>
      <w:tr>
        <w:tc>
          <w:tcPr>
            <w:tcW w:type="dxa" w:w="170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0</w:t>
            </w:r>
          </w:p>
        </w:tc>
        <w:tc>
          <w:tcPr>
            <w:tcW w:type="dxa" w:w="556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omnichannel rows of any kind, anywhere — the feature has no data because it has no product yet</w:t>
            </w:r>
          </w:p>
        </w:tc>
        <w:tc>
          <w:tcPr>
            <w:tcW w:type="dxa" w:w="150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
            </w:r>
          </w:p>
        </w:tc>
      </w:tr>
    </w:tbl>
    <w:p>
      <w:pPr>
        <w:pBdr>
          <w:left w:val="single" w:color="B0202E" w:sz="18"/>
        </w:pBdr>
        <w:shd w:fill="F3F6FA" w:color="auto" w:val="clear"/>
        <w:spacing w:after="130" w:before="40" w:line="276"/>
        <w:ind w:left="150"/>
      </w:pPr>
      <w:r>
        <w:rPr>
          <w:b/>
          <w:bCs/>
          <w:color w:val="B0202E"/>
        </w:rPr>
        <w:t xml:space="preserve">Read this section as severity-ordered, not alphabetical:  </w:t>
      </w:r>
      <w:r>
        <w:t xml:space="preserve">M1–M5 are described as pre-launch blockers — real financial and data-integrity risk at current or growing volume. M6–M11 are serious but not launch-blocking on their own.</w:t>
      </w:r>
    </w:p>
    <w:p>
      <w:pPr>
        <w:pStyle w:val="Heading2"/>
        <w:spacing w:after="75" w:before="190"/>
      </w:pPr>
      <w:r>
        <w:t xml:space="preserve">3.1 Critical — M1 to M5</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60"/>
        <w:gridCol w:w="2280"/>
        <w:gridCol w:w="5920"/>
      </w:tblGrid>
      <w:tr>
        <w:trPr>
          <w:tblHeader/>
        </w:trPr>
        <w:tc>
          <w:tcPr>
            <w:tcW w:type="dxa" w:w="560"/>
            <w:tcBorders>
              <w:top w:val="single" w:color="C4D2E0" w:sz="4"/>
              <w:left w:val="single" w:color="C4D2E0" w:sz="4"/>
              <w:bottom w:val="single" w:color="C4D2E0" w:sz="4"/>
              <w:right w:val="single" w:color="C4D2E0" w:sz="4"/>
            </w:tcBorders>
            <w:shd w:fill="17365D" w:color="auto" w:val="clear"/>
            <w:tcMar>
              <w:top w:type="dxa" w:w="50"/>
              <w:left w:type="dxa" w:w="80"/>
              <w:bottom w:type="dxa" w:w="50"/>
              <w:right w:type="dxa" w:w="80"/>
            </w:tcMar>
          </w:tcPr>
          <w:p>
            <w:pPr>
              <w:spacing w:after="0" w:line="226"/>
              <w:jc w:val="left"/>
            </w:pPr>
            <w:r>
              <w:rPr>
                <w:b/>
                <w:bCs/>
                <w:color w:val="FFFFFF"/>
                <w:sz w:val="18"/>
                <w:szCs w:val="18"/>
              </w:rPr>
              <w:t xml:space="preserve">#</w:t>
            </w:r>
          </w:p>
        </w:tc>
        <w:tc>
          <w:tcPr>
            <w:tcW w:type="dxa" w:w="2280"/>
            <w:tcBorders>
              <w:top w:val="single" w:color="C4D2E0" w:sz="4"/>
              <w:left w:val="single" w:color="C4D2E0" w:sz="4"/>
              <w:bottom w:val="single" w:color="C4D2E0" w:sz="4"/>
              <w:right w:val="single" w:color="C4D2E0" w:sz="4"/>
            </w:tcBorders>
            <w:shd w:fill="17365D" w:color="auto" w:val="clear"/>
            <w:tcMar>
              <w:top w:type="dxa" w:w="50"/>
              <w:left w:type="dxa" w:w="80"/>
              <w:bottom w:type="dxa" w:w="50"/>
              <w:right w:type="dxa" w:w="80"/>
            </w:tcMar>
          </w:tcPr>
          <w:p>
            <w:pPr>
              <w:spacing w:after="0" w:line="226"/>
              <w:jc w:val="left"/>
            </w:pPr>
            <w:r>
              <w:rPr>
                <w:b/>
                <w:bCs/>
                <w:color w:val="FFFFFF"/>
                <w:sz w:val="18"/>
                <w:szCs w:val="18"/>
              </w:rPr>
              <w:t xml:space="preserve">Finding</w:t>
            </w:r>
          </w:p>
        </w:tc>
        <w:tc>
          <w:tcPr>
            <w:tcW w:type="dxa" w:w="5920"/>
            <w:tcBorders>
              <w:top w:val="single" w:color="C4D2E0" w:sz="4"/>
              <w:left w:val="single" w:color="C4D2E0" w:sz="4"/>
              <w:bottom w:val="single" w:color="C4D2E0" w:sz="4"/>
              <w:right w:val="single" w:color="C4D2E0" w:sz="4"/>
            </w:tcBorders>
            <w:shd w:fill="17365D" w:color="auto" w:val="clear"/>
            <w:tcMar>
              <w:top w:type="dxa" w:w="50"/>
              <w:left w:type="dxa" w:w="80"/>
              <w:bottom w:type="dxa" w:w="50"/>
              <w:right w:type="dxa" w:w="80"/>
            </w:tcMar>
          </w:tcPr>
          <w:p>
            <w:pPr>
              <w:spacing w:after="0" w:line="226"/>
              <w:jc w:val="left"/>
            </w:pPr>
            <w:r>
              <w:rPr>
                <w:b/>
                <w:bCs/>
                <w:color w:val="FFFFFF"/>
                <w:sz w:val="18"/>
                <w:szCs w:val="18"/>
              </w:rPr>
              <w:t xml:space="preserve">Evidence &amp; why it matters</w:t>
            </w:r>
          </w:p>
        </w:tc>
      </w:tr>
      <w:tr>
        <w:tc>
          <w:tcPr>
            <w:tcW w:type="dxa" w:w="560"/>
            <w:tcBorders>
              <w:top w:val="single" w:color="C4D2E0" w:sz="4"/>
              <w:left w:val="single" w:color="C4D2E0" w:sz="4"/>
              <w:bottom w:val="single" w:color="C4D2E0" w:sz="4"/>
              <w:right w:val="single" w:color="C4D2E0" w:sz="4"/>
            </w:tcBorders>
            <w:shd w:fill="F6DADE" w:color="auto" w:val="clear"/>
            <w:tcMar>
              <w:top w:type="dxa" w:w="50"/>
              <w:left w:type="dxa" w:w="80"/>
              <w:bottom w:type="dxa" w:w="50"/>
              <w:right w:type="dxa" w:w="80"/>
            </w:tcMar>
          </w:tcPr>
          <w:p>
            <w:pPr>
              <w:spacing w:after="0" w:line="226"/>
              <w:jc w:val="center"/>
            </w:pPr>
            <w:r>
              <w:rPr>
                <w:b/>
                <w:bCs/>
                <w:color w:val="B0202E"/>
                <w:sz w:val="16"/>
                <w:szCs w:val="16"/>
              </w:rPr>
              <w:t xml:space="preserve">M1</w:t>
            </w:r>
          </w:p>
        </w:tc>
        <w:tc>
          <w:tcPr>
            <w:tcW w:type="dxa" w:w="228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Three servers run the same nightly billing job against one database at once</w:t>
            </w:r>
          </w:p>
        </w:tc>
        <w:tc>
          <w:tcPr>
            <w:tcW w:type="dxa" w:w="592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Two of the three writer machines were identified by matching database connection strings and log output; a third machine is confirmed writing to production billing tables but could not be identified. The result: the same company gets 3–4 duplicate billing rows, seconds apart, most nights. Renewal charges happen to be protected by an idempotency key that includes company + plan + amount + date, so card charges have not duplicated yet — but that protection does not extend to auto-recharge (M2).</w:t>
            </w:r>
          </w:p>
        </w:tc>
      </w:tr>
      <w:tr>
        <w:tc>
          <w:tcPr>
            <w:tcW w:type="dxa" w:w="560"/>
            <w:tcBorders>
              <w:top w:val="single" w:color="C4D2E0" w:sz="4"/>
              <w:left w:val="single" w:color="C4D2E0" w:sz="4"/>
              <w:bottom w:val="single" w:color="C4D2E0" w:sz="4"/>
              <w:right w:val="single" w:color="C4D2E0" w:sz="4"/>
            </w:tcBorders>
            <w:shd w:fill="F6DADE" w:color="auto" w:val="clear"/>
            <w:tcMar>
              <w:top w:type="dxa" w:w="50"/>
              <w:left w:type="dxa" w:w="80"/>
              <w:bottom w:type="dxa" w:w="50"/>
              <w:right w:type="dxa" w:w="80"/>
            </w:tcMar>
          </w:tcPr>
          <w:p>
            <w:pPr>
              <w:spacing w:after="0" w:line="226"/>
              <w:jc w:val="center"/>
            </w:pPr>
            <w:r>
              <w:rPr>
                <w:b/>
                <w:bCs/>
                <w:color w:val="B0202E"/>
                <w:sz w:val="16"/>
                <w:szCs w:val="16"/>
              </w:rPr>
              <w:t xml:space="preserve">M2</w:t>
            </w:r>
          </w:p>
        </w:tc>
        <w:tc>
          <w:tcPr>
            <w:tcW w:type="dxa" w:w="228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Auto-recharge can charge a customer many times over for one top-up</w:t>
            </w:r>
          </w:p>
        </w:tc>
        <w:tc>
          <w:tcPr>
            <w:tcW w:type="dxa" w:w="592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Four faults compound: it loops over every user on the platform (not every company) while checking a company-level balance, so several people with auto-recharge on in one company trigger several top-ups; those run in parallel and all read the same stale low balance before any of them credits it; the charge itself carries no idempotency key, so the payment processor cannot collapse duplicates; and the job re-runs every two minutes, so a slow or lost payment confirmation triggers another charge shortly after. Only two auto-recharges have ever fired in production so far — this is a latent risk that grows with adoption, not one that has caused damage yet.</w:t>
            </w:r>
          </w:p>
        </w:tc>
      </w:tr>
      <w:tr>
        <w:tc>
          <w:tcPr>
            <w:tcW w:type="dxa" w:w="560"/>
            <w:tcBorders>
              <w:top w:val="single" w:color="C4D2E0" w:sz="4"/>
              <w:left w:val="single" w:color="C4D2E0" w:sz="4"/>
              <w:bottom w:val="single" w:color="C4D2E0" w:sz="4"/>
              <w:right w:val="single" w:color="C4D2E0" w:sz="4"/>
            </w:tcBorders>
            <w:shd w:fill="F6DADE" w:color="auto" w:val="clear"/>
            <w:tcMar>
              <w:top w:type="dxa" w:w="50"/>
              <w:left w:type="dxa" w:w="80"/>
              <w:bottom w:type="dxa" w:w="50"/>
              <w:right w:type="dxa" w:w="80"/>
            </w:tcMar>
          </w:tcPr>
          <w:p>
            <w:pPr>
              <w:spacing w:after="0" w:line="226"/>
              <w:jc w:val="center"/>
            </w:pPr>
            <w:r>
              <w:rPr>
                <w:b/>
                <w:bCs/>
                <w:color w:val="B0202E"/>
                <w:sz w:val="16"/>
                <w:szCs w:val="16"/>
              </w:rPr>
              <w:t xml:space="preserve">M3</w:t>
            </w:r>
          </w:p>
        </w:tc>
        <w:tc>
          <w:tcPr>
            <w:tcW w:type="dxa" w:w="228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Tax is correctly calculated, then silently discarded before the charge</w:t>
            </w:r>
          </w:p>
        </w:tc>
        <w:tc>
          <w:tcPr>
            <w:tcW w:type="dxa" w:w="592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The tax-calculation call to the payment provider works and returns a full breakdown, but the field the charging code actually uses is set to the pre-tax amount, so the customer is charged before tax even when tax is calculated. Consistent with this: 0 of 156 bills ever issued carry any tax line. This has to be fixed in the code before tax registration happens, not after — registering first would still collect nothing.</w:t>
            </w:r>
          </w:p>
        </w:tc>
      </w:tr>
      <w:tr>
        <w:tc>
          <w:tcPr>
            <w:tcW w:type="dxa" w:w="560"/>
            <w:tcBorders>
              <w:top w:val="single" w:color="C4D2E0" w:sz="4"/>
              <w:left w:val="single" w:color="C4D2E0" w:sz="4"/>
              <w:bottom w:val="single" w:color="C4D2E0" w:sz="4"/>
              <w:right w:val="single" w:color="C4D2E0" w:sz="4"/>
            </w:tcBorders>
            <w:shd w:fill="F6DADE" w:color="auto" w:val="clear"/>
            <w:tcMar>
              <w:top w:type="dxa" w:w="50"/>
              <w:left w:type="dxa" w:w="80"/>
              <w:bottom w:type="dxa" w:w="50"/>
              <w:right w:type="dxa" w:w="80"/>
            </w:tcMar>
          </w:tcPr>
          <w:p>
            <w:pPr>
              <w:spacing w:after="0" w:line="226"/>
              <w:jc w:val="center"/>
            </w:pPr>
            <w:r>
              <w:rPr>
                <w:b/>
                <w:bCs/>
                <w:color w:val="B0202E"/>
                <w:sz w:val="16"/>
                <w:szCs w:val="16"/>
              </w:rPr>
              <w:t xml:space="preserve">M4</w:t>
            </w:r>
          </w:p>
        </w:tc>
        <w:tc>
          <w:tcPr>
            <w:tcW w:type="dxa" w:w="228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Failed payments are silent — no customer email, no retry ladder</w:t>
            </w:r>
          </w:p>
        </w:tc>
        <w:tc>
          <w:tcPr>
            <w:tcW w:type="dxa" w:w="592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78 failed-charge rows exist with zero follow-up communication of any kind. The only signal a customer ever gets is that every user in their company is locked out at once, 7 days later, with no warning in between. There is also a logic gap: the "no card on file" failure path skips the overdue-grace-period rule that the "card declined" path uses, so a company with simply no card drifts along fully working, indefinitely, until a separate weekly sweep catches it.</w:t>
            </w:r>
          </w:p>
        </w:tc>
      </w:tr>
      <w:tr>
        <w:tc>
          <w:tcPr>
            <w:tcW w:type="dxa" w:w="560"/>
            <w:tcBorders>
              <w:top w:val="single" w:color="C4D2E0" w:sz="4"/>
              <w:left w:val="single" w:color="C4D2E0" w:sz="4"/>
              <w:bottom w:val="single" w:color="C4D2E0" w:sz="4"/>
              <w:right w:val="single" w:color="C4D2E0" w:sz="4"/>
            </w:tcBorders>
            <w:shd w:fill="F6DADE" w:color="auto" w:val="clear"/>
            <w:tcMar>
              <w:top w:type="dxa" w:w="50"/>
              <w:left w:type="dxa" w:w="80"/>
              <w:bottom w:type="dxa" w:w="50"/>
              <w:right w:type="dxa" w:w="80"/>
            </w:tcMar>
          </w:tcPr>
          <w:p>
            <w:pPr>
              <w:spacing w:after="0" w:line="226"/>
              <w:jc w:val="center"/>
            </w:pPr>
            <w:r>
              <w:rPr>
                <w:b/>
                <w:bCs/>
                <w:color w:val="B0202E"/>
                <w:sz w:val="16"/>
                <w:szCs w:val="16"/>
              </w:rPr>
              <w:t xml:space="preserve">M5</w:t>
            </w:r>
          </w:p>
        </w:tc>
        <w:tc>
          <w:tcPr>
            <w:tcW w:type="dxa" w:w="228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Nothing actually charges for call, SMS, or fax usage — the biggest gap</w:t>
            </w:r>
          </w:p>
        </w:tc>
        <w:tc>
          <w:tcPr>
            <w:tcW w:type="dxa" w:w="592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Rate cards are real and fully loaded (92,000+ outbound call rates, 650+ SMS rates). A per-call cost is even computed and written into the call log. But the customer-facing charge is $0.00 on effectively every call, nothing is ever deducted from a company’s wallet (there is no "balance deducted" ledger entry anywhere in billing history), and every company shows zero minutes used against its allowance regardless of actual calling. Inbound calls cannot be rated at all — every plan’s inbound rate card points at an ID that does not exist in the rate-card table. Number rental produces $0.00 bills. Net effect: a customer can make unlimited calls of any kind and be charged only the flat plan price, while the underlying carrier still bills the real cost. See Section 4 for exactly what runtime check is missing, and the one part of the platform (AI) that already does this correctly.</w:t>
            </w:r>
          </w:p>
        </w:tc>
      </w:tr>
    </w:tbl>
    <w:p>
      <w:pPr>
        <w:pStyle w:val="Heading2"/>
        <w:spacing w:after="75" w:before="190"/>
      </w:pPr>
      <w:r>
        <w:t xml:space="preserve">3.2 Serious but not launch-blocking — M6 to M11</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60"/>
        <w:gridCol w:w="2280"/>
        <w:gridCol w:w="5920"/>
      </w:tblGrid>
      <w:tr>
        <w:trPr>
          <w:tblHeader/>
        </w:trPr>
        <w:tc>
          <w:tcPr>
            <w:tcW w:type="dxa" w:w="560"/>
            <w:tcBorders>
              <w:top w:val="single" w:color="C4D2E0" w:sz="4"/>
              <w:left w:val="single" w:color="C4D2E0" w:sz="4"/>
              <w:bottom w:val="single" w:color="C4D2E0" w:sz="4"/>
              <w:right w:val="single" w:color="C4D2E0" w:sz="4"/>
            </w:tcBorders>
            <w:shd w:fill="17365D" w:color="auto" w:val="clear"/>
            <w:tcMar>
              <w:top w:type="dxa" w:w="50"/>
              <w:left w:type="dxa" w:w="80"/>
              <w:bottom w:type="dxa" w:w="50"/>
              <w:right w:type="dxa" w:w="80"/>
            </w:tcMar>
          </w:tcPr>
          <w:p>
            <w:pPr>
              <w:spacing w:after="0" w:line="226"/>
              <w:jc w:val="left"/>
            </w:pPr>
            <w:r>
              <w:rPr>
                <w:b/>
                <w:bCs/>
                <w:color w:val="FFFFFF"/>
                <w:sz w:val="18"/>
                <w:szCs w:val="18"/>
              </w:rPr>
              <w:t xml:space="preserve">#</w:t>
            </w:r>
          </w:p>
        </w:tc>
        <w:tc>
          <w:tcPr>
            <w:tcW w:type="dxa" w:w="2280"/>
            <w:tcBorders>
              <w:top w:val="single" w:color="C4D2E0" w:sz="4"/>
              <w:left w:val="single" w:color="C4D2E0" w:sz="4"/>
              <w:bottom w:val="single" w:color="C4D2E0" w:sz="4"/>
              <w:right w:val="single" w:color="C4D2E0" w:sz="4"/>
            </w:tcBorders>
            <w:shd w:fill="17365D" w:color="auto" w:val="clear"/>
            <w:tcMar>
              <w:top w:type="dxa" w:w="50"/>
              <w:left w:type="dxa" w:w="80"/>
              <w:bottom w:type="dxa" w:w="50"/>
              <w:right w:type="dxa" w:w="80"/>
            </w:tcMar>
          </w:tcPr>
          <w:p>
            <w:pPr>
              <w:spacing w:after="0" w:line="226"/>
              <w:jc w:val="left"/>
            </w:pPr>
            <w:r>
              <w:rPr>
                <w:b/>
                <w:bCs/>
                <w:color w:val="FFFFFF"/>
                <w:sz w:val="18"/>
                <w:szCs w:val="18"/>
              </w:rPr>
              <w:t xml:space="preserve">Finding</w:t>
            </w:r>
          </w:p>
        </w:tc>
        <w:tc>
          <w:tcPr>
            <w:tcW w:type="dxa" w:w="5920"/>
            <w:tcBorders>
              <w:top w:val="single" w:color="C4D2E0" w:sz="4"/>
              <w:left w:val="single" w:color="C4D2E0" w:sz="4"/>
              <w:bottom w:val="single" w:color="C4D2E0" w:sz="4"/>
              <w:right w:val="single" w:color="C4D2E0" w:sz="4"/>
            </w:tcBorders>
            <w:shd w:fill="17365D" w:color="auto" w:val="clear"/>
            <w:tcMar>
              <w:top w:type="dxa" w:w="50"/>
              <w:left w:type="dxa" w:w="80"/>
              <w:bottom w:type="dxa" w:w="50"/>
              <w:right w:type="dxa" w:w="80"/>
            </w:tcMar>
          </w:tcPr>
          <w:p>
            <w:pPr>
              <w:spacing w:after="0" w:line="226"/>
              <w:jc w:val="left"/>
            </w:pPr>
            <w:r>
              <w:rPr>
                <w:b/>
                <w:bCs/>
                <w:color w:val="FFFFFF"/>
                <w:sz w:val="18"/>
                <w:szCs w:val="18"/>
              </w:rPr>
              <w:t xml:space="preserve">Evidence &amp; why it matters</w:t>
            </w:r>
          </w:p>
        </w:tc>
      </w:tr>
      <w:tr>
        <w:tc>
          <w:tcPr>
            <w:tcW w:type="dxa" w:w="560"/>
            <w:tcBorders>
              <w:top w:val="single" w:color="C4D2E0" w:sz="4"/>
              <w:left w:val="single" w:color="C4D2E0" w:sz="4"/>
              <w:bottom w:val="single" w:color="C4D2E0" w:sz="4"/>
              <w:right w:val="single" w:color="C4D2E0" w:sz="4"/>
            </w:tcBorders>
            <w:shd w:fill="FBEAD2" w:color="auto" w:val="clear"/>
            <w:tcMar>
              <w:top w:type="dxa" w:w="50"/>
              <w:left w:type="dxa" w:w="80"/>
              <w:bottom w:type="dxa" w:w="50"/>
              <w:right w:type="dxa" w:w="80"/>
            </w:tcMar>
          </w:tcPr>
          <w:p>
            <w:pPr>
              <w:spacing w:after="0" w:line="226"/>
              <w:jc w:val="center"/>
            </w:pPr>
            <w:r>
              <w:rPr>
                <w:b/>
                <w:bCs/>
                <w:color w:val="B45309"/>
                <w:sz w:val="16"/>
                <w:szCs w:val="16"/>
              </w:rPr>
              <w:t xml:space="preserve">M6</w:t>
            </w:r>
          </w:p>
        </w:tc>
        <w:tc>
          <w:tcPr>
            <w:tcW w:type="dxa" w:w="228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Cancellation requests have sat unprocessed for weeks</w:t>
            </w:r>
          </w:p>
        </w:tc>
        <w:tc>
          <w:tcPr>
            <w:tcW w:type="dxa" w:w="592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Three companies requested cancellation in late July and late August; all three are still pending, with billing dates already in the past. The renewal job does contain code to honour a cancellation, but only checks companies whose plan has already expired — these three requests never reached that check.</w:t>
            </w:r>
          </w:p>
        </w:tc>
      </w:tr>
      <w:tr>
        <w:tc>
          <w:tcPr>
            <w:tcW w:type="dxa" w:w="560"/>
            <w:tcBorders>
              <w:top w:val="single" w:color="C4D2E0" w:sz="4"/>
              <w:left w:val="single" w:color="C4D2E0" w:sz="4"/>
              <w:bottom w:val="single" w:color="C4D2E0" w:sz="4"/>
              <w:right w:val="single" w:color="C4D2E0" w:sz="4"/>
            </w:tcBorders>
            <w:shd w:fill="FBEAD2" w:color="auto" w:val="clear"/>
            <w:tcMar>
              <w:top w:type="dxa" w:w="50"/>
              <w:left w:type="dxa" w:w="80"/>
              <w:bottom w:type="dxa" w:w="50"/>
              <w:right w:type="dxa" w:w="80"/>
            </w:tcMar>
          </w:tcPr>
          <w:p>
            <w:pPr>
              <w:spacing w:after="0" w:line="226"/>
              <w:jc w:val="center"/>
            </w:pPr>
            <w:r>
              <w:rPr>
                <w:b/>
                <w:bCs/>
                <w:color w:val="B45309"/>
                <w:sz w:val="16"/>
                <w:szCs w:val="16"/>
              </w:rPr>
              <w:t xml:space="preserve">M7</w:t>
            </w:r>
          </w:p>
        </w:tc>
        <w:tc>
          <w:tcPr>
            <w:tcW w:type="dxa" w:w="228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Plan prices are internally inconsistent in two different ways</w:t>
            </w:r>
          </w:p>
        </w:tc>
        <w:tc>
          <w:tcPr>
            <w:tcW w:type="dxa" w:w="592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The yearly price for one plan shows a "25%-off" discounted price that is roughly 15× higher than the undiscounted price — the opposite of a discount. Separately, the plan catalogue shown on the pricing screen does not match what the database actually charges for the same plan; 14 live companies are billed the database figure, not the advertised one.</w:t>
            </w:r>
          </w:p>
        </w:tc>
      </w:tr>
      <w:tr>
        <w:tc>
          <w:tcPr>
            <w:tcW w:type="dxa" w:w="560"/>
            <w:tcBorders>
              <w:top w:val="single" w:color="C4D2E0" w:sz="4"/>
              <w:left w:val="single" w:color="C4D2E0" w:sz="4"/>
              <w:bottom w:val="single" w:color="C4D2E0" w:sz="4"/>
              <w:right w:val="single" w:color="C4D2E0" w:sz="4"/>
            </w:tcBorders>
            <w:shd w:fill="FBEAD2" w:color="auto" w:val="clear"/>
            <w:tcMar>
              <w:top w:type="dxa" w:w="50"/>
              <w:left w:type="dxa" w:w="80"/>
              <w:bottom w:type="dxa" w:w="50"/>
              <w:right w:type="dxa" w:w="80"/>
            </w:tcMar>
          </w:tcPr>
          <w:p>
            <w:pPr>
              <w:spacing w:after="0" w:line="226"/>
              <w:jc w:val="center"/>
            </w:pPr>
            <w:r>
              <w:rPr>
                <w:b/>
                <w:bCs/>
                <w:color w:val="B45309"/>
                <w:sz w:val="16"/>
                <w:szCs w:val="16"/>
              </w:rPr>
              <w:t xml:space="preserve">M8</w:t>
            </w:r>
          </w:p>
        </w:tc>
        <w:tc>
          <w:tcPr>
            <w:tcW w:type="dxa" w:w="228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Two billing endpoints trust identifiers sent by the browser instead of the signed-in session</w:t>
            </w:r>
          </w:p>
        </w:tc>
        <w:tc>
          <w:tcPr>
            <w:tcW w:type="dxa" w:w="592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The plan-upgrade charge endpoint and the trial-upgrade endpoint both take the company identifier and the license count straight from the request body, with no check that it matches the authenticated user’s own company — unlike the renewal endpoint, which already does this correctly. Separately, four places look up a saved card by its ID alone with no company filter; the payment processor’s own cross-account protection is the only thing currently preventing misuse. This is also the concrete reason the Add-ons screen has no purchase button today (Section 6) — the right call until this is fixed.</w:t>
            </w:r>
          </w:p>
        </w:tc>
      </w:tr>
      <w:tr>
        <w:tc>
          <w:tcPr>
            <w:tcW w:type="dxa" w:w="560"/>
            <w:tcBorders>
              <w:top w:val="single" w:color="C4D2E0" w:sz="4"/>
              <w:left w:val="single" w:color="C4D2E0" w:sz="4"/>
              <w:bottom w:val="single" w:color="C4D2E0" w:sz="4"/>
              <w:right w:val="single" w:color="C4D2E0" w:sz="4"/>
            </w:tcBorders>
            <w:shd w:fill="FBEAD2" w:color="auto" w:val="clear"/>
            <w:tcMar>
              <w:top w:type="dxa" w:w="50"/>
              <w:left w:type="dxa" w:w="80"/>
              <w:bottom w:type="dxa" w:w="50"/>
              <w:right w:type="dxa" w:w="80"/>
            </w:tcMar>
          </w:tcPr>
          <w:p>
            <w:pPr>
              <w:spacing w:after="0" w:line="226"/>
              <w:jc w:val="center"/>
            </w:pPr>
            <w:r>
              <w:rPr>
                <w:b/>
                <w:bCs/>
                <w:color w:val="B45309"/>
                <w:sz w:val="16"/>
                <w:szCs w:val="16"/>
              </w:rPr>
              <w:t xml:space="preserve">M9</w:t>
            </w:r>
          </w:p>
        </w:tc>
        <w:tc>
          <w:tcPr>
            <w:tcW w:type="dxa" w:w="228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Purchased license counts are sold but never enforced</w:t>
            </w:r>
          </w:p>
        </w:tc>
        <w:tc>
          <w:tcPr>
            <w:tcW w:type="dxa" w:w="592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One company holds 2,001 paid licenses against 4,003 actual user accounts. Three separate companies have active paid licenses with zero license records at all. Nothing in the signup path currently refuses to create user number "n+1" once the license count is exceeded.</w:t>
            </w:r>
          </w:p>
        </w:tc>
      </w:tr>
      <w:tr>
        <w:tc>
          <w:tcPr>
            <w:tcW w:type="dxa" w:w="560"/>
            <w:tcBorders>
              <w:top w:val="single" w:color="C4D2E0" w:sz="4"/>
              <w:left w:val="single" w:color="C4D2E0" w:sz="4"/>
              <w:bottom w:val="single" w:color="C4D2E0" w:sz="4"/>
              <w:right w:val="single" w:color="C4D2E0" w:sz="4"/>
            </w:tcBorders>
            <w:shd w:fill="FBEAD2" w:color="auto" w:val="clear"/>
            <w:tcMar>
              <w:top w:type="dxa" w:w="50"/>
              <w:left w:type="dxa" w:w="80"/>
              <w:bottom w:type="dxa" w:w="50"/>
              <w:right w:type="dxa" w:w="80"/>
            </w:tcMar>
          </w:tcPr>
          <w:p>
            <w:pPr>
              <w:spacing w:after="0" w:line="226"/>
              <w:jc w:val="center"/>
            </w:pPr>
            <w:r>
              <w:rPr>
                <w:b/>
                <w:bCs/>
                <w:color w:val="B45309"/>
                <w:sz w:val="16"/>
                <w:szCs w:val="16"/>
              </w:rPr>
              <w:t xml:space="preserve">M10</w:t>
            </w:r>
          </w:p>
        </w:tc>
        <w:tc>
          <w:tcPr>
            <w:tcW w:type="dxa" w:w="228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A successful charge can be lost if a payment-provider callback fails</w:t>
            </w:r>
          </w:p>
        </w:tc>
        <w:tc>
          <w:tcPr>
            <w:tcW w:type="dxa" w:w="592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The nightly renewal job charging a card successfully does not itself extend the plan — that only happens when the payment provider’s callback arrives afterward, and the callback logic refuses outright if it cannot resolve which company the event belongs to. A lost or failed callback means money was taken but the plan was never extended, and because the next night’s charge uses a fresh date-based key, the job can charge the same company again the following night. No confirmed occurrence yet — flagged as a latent design gap.</w:t>
            </w:r>
          </w:p>
        </w:tc>
      </w:tr>
      <w:tr>
        <w:tc>
          <w:tcPr>
            <w:tcW w:type="dxa" w:w="560"/>
            <w:tcBorders>
              <w:top w:val="single" w:color="C4D2E0" w:sz="4"/>
              <w:left w:val="single" w:color="C4D2E0" w:sz="4"/>
              <w:bottom w:val="single" w:color="C4D2E0" w:sz="4"/>
              <w:right w:val="single" w:color="C4D2E0" w:sz="4"/>
            </w:tcBorders>
            <w:shd w:fill="FBEAD2" w:color="auto" w:val="clear"/>
            <w:tcMar>
              <w:top w:type="dxa" w:w="50"/>
              <w:left w:type="dxa" w:w="80"/>
              <w:bottom w:type="dxa" w:w="50"/>
              <w:right w:type="dxa" w:w="80"/>
            </w:tcMar>
          </w:tcPr>
          <w:p>
            <w:pPr>
              <w:spacing w:after="0" w:line="226"/>
              <w:jc w:val="center"/>
            </w:pPr>
            <w:r>
              <w:rPr>
                <w:b/>
                <w:bCs/>
                <w:color w:val="B45309"/>
                <w:sz w:val="16"/>
                <w:szCs w:val="16"/>
              </w:rPr>
              <w:t xml:space="preserve">M11</w:t>
            </w:r>
          </w:p>
        </w:tc>
        <w:tc>
          <w:tcPr>
            <w:tcW w:type="dxa" w:w="228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The hourly account lock-out job has no safety filter</w:t>
            </w:r>
          </w:p>
        </w:tc>
        <w:tc>
          <w:tcPr>
            <w:tcW w:type="dxa" w:w="592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The job that deactivates every user in a company 7 days past plan expiry currently filters on the expiry date alone — a status check that should also be applied is commented out in the source. Any company with a stale expiry date for any reason (including from M10) has its entire user base deactivated and every session destroyed, every hour, whether or not it has actually paid, with nothing to reverse it automatically.</w:t>
            </w:r>
          </w:p>
        </w:tc>
      </w:tr>
    </w:tbl>
    <w:p>
      <w:r>
        <w:br w:type="page"/>
      </w:r>
    </w:p>
    <w:p>
      <w:pPr>
        <w:pStyle w:val="Heading1"/>
        <w:spacing w:after="110" w:before="300"/>
      </w:pPr>
      <w:r>
        <w:t xml:space="preserve">4. Usage metering — the runtime truth (does it check balance before it lets you call?)</w:t>
      </w:r>
    </w:p>
    <w:p>
      <w:pPr>
        <w:spacing w:after="120" w:line="288"/>
      </w:pPr>
      <w:r>
        <w:t xml:space="preserve">This is the direct answer to the question underneath most of Section 3: </w:t>
      </w:r>
      <w:r>
        <w:rPr>
          <w:b/>
          <w:bCs/>
        </w:rPr>
        <w:t xml:space="preserve">for each billable service, does MCM check that money or allowance is available </w:t>
      </w:r>
      <w:r>
        <w:rPr>
          <w:i/>
          <w:iCs/>
          <w:color w:val="666666"/>
        </w:rPr>
        <w:t xml:space="preserve">before</w:t>
      </w:r>
      <w:r>
        <w:t xml:space="preserve"> letting the action happen, and does it actually charge </w:t>
      </w:r>
      <w:r>
        <w:rPr>
          <w:i/>
          <w:iCs/>
          <w:color w:val="666666"/>
        </w:rPr>
        <w:t xml:space="preserve">after</w:t>
      </w:r>
      <w:r>
        <w:t xml:space="preserve">? Dialpad's model is implicit — no credits, no call. Here is what each MCM service actually does at runtime, per the production audit.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2400"/>
        <w:gridCol w:w="1560"/>
      </w:tblGrid>
      <w:tr>
        <w:trPr>
          <w:tblHeader/>
        </w:trPr>
        <w:tc>
          <w:tcPr>
            <w:tcW w:type="dxa" w:w="1900"/>
            <w:tcBorders>
              <w:top w:val="single" w:color="C4D2E0" w:sz="4"/>
              <w:left w:val="single" w:color="C4D2E0" w:sz="4"/>
              <w:bottom w:val="single" w:color="C4D2E0" w:sz="4"/>
              <w:right w:val="single" w:color="C4D2E0" w:sz="4"/>
            </w:tcBorders>
            <w:shd w:fill="17365D" w:color="auto" w:val="clear"/>
            <w:tcMar>
              <w:top w:type="dxa" w:w="50"/>
              <w:left w:type="dxa" w:w="80"/>
              <w:bottom w:type="dxa" w:w="50"/>
              <w:right w:type="dxa" w:w="80"/>
            </w:tcMar>
          </w:tcPr>
          <w:p>
            <w:pPr>
              <w:spacing w:after="0" w:line="226"/>
              <w:jc w:val="left"/>
            </w:pPr>
            <w:r>
              <w:rPr>
                <w:b/>
                <w:bCs/>
                <w:color w:val="FFFFFF"/>
                <w:sz w:val="18"/>
                <w:szCs w:val="18"/>
              </w:rPr>
              <w:t xml:space="preserve">Service</w:t>
            </w:r>
          </w:p>
        </w:tc>
        <w:tc>
          <w:tcPr>
            <w:tcW w:type="dxa" w:w="2900"/>
            <w:tcBorders>
              <w:top w:val="single" w:color="C4D2E0" w:sz="4"/>
              <w:left w:val="single" w:color="C4D2E0" w:sz="4"/>
              <w:bottom w:val="single" w:color="C4D2E0" w:sz="4"/>
              <w:right w:val="single" w:color="C4D2E0" w:sz="4"/>
            </w:tcBorders>
            <w:shd w:fill="17365D" w:color="auto" w:val="clear"/>
            <w:tcMar>
              <w:top w:type="dxa" w:w="50"/>
              <w:left w:type="dxa" w:w="80"/>
              <w:bottom w:type="dxa" w:w="50"/>
              <w:right w:type="dxa" w:w="80"/>
            </w:tcMar>
          </w:tcPr>
          <w:p>
            <w:pPr>
              <w:spacing w:after="0" w:line="226"/>
              <w:jc w:val="left"/>
            </w:pPr>
            <w:r>
              <w:rPr>
                <w:b/>
                <w:bCs/>
                <w:color w:val="FFFFFF"/>
                <w:sz w:val="18"/>
                <w:szCs w:val="18"/>
              </w:rPr>
              <w:t xml:space="preserve">Checks balance first?</w:t>
            </w:r>
          </w:p>
        </w:tc>
        <w:tc>
          <w:tcPr>
            <w:tcW w:type="dxa" w:w="2400"/>
            <w:tcBorders>
              <w:top w:val="single" w:color="C4D2E0" w:sz="4"/>
              <w:left w:val="single" w:color="C4D2E0" w:sz="4"/>
              <w:bottom w:val="single" w:color="C4D2E0" w:sz="4"/>
              <w:right w:val="single" w:color="C4D2E0" w:sz="4"/>
            </w:tcBorders>
            <w:shd w:fill="17365D" w:color="auto" w:val="clear"/>
            <w:tcMar>
              <w:top w:type="dxa" w:w="50"/>
              <w:left w:type="dxa" w:w="80"/>
              <w:bottom w:type="dxa" w:w="50"/>
              <w:right w:type="dxa" w:w="80"/>
            </w:tcMar>
          </w:tcPr>
          <w:p>
            <w:pPr>
              <w:spacing w:after="0" w:line="226"/>
              <w:jc w:val="left"/>
            </w:pPr>
            <w:r>
              <w:rPr>
                <w:b/>
                <w:bCs/>
                <w:color w:val="FFFFFF"/>
                <w:sz w:val="18"/>
                <w:szCs w:val="18"/>
              </w:rPr>
              <w:t xml:space="preserve">Charges after?</w:t>
            </w:r>
          </w:p>
        </w:tc>
        <w:tc>
          <w:tcPr>
            <w:tcW w:type="dxa" w:w="1560"/>
            <w:tcBorders>
              <w:top w:val="single" w:color="C4D2E0" w:sz="4"/>
              <w:left w:val="single" w:color="C4D2E0" w:sz="4"/>
              <w:bottom w:val="single" w:color="C4D2E0" w:sz="4"/>
              <w:right w:val="single" w:color="C4D2E0" w:sz="4"/>
            </w:tcBorders>
            <w:shd w:fill="17365D" w:color="auto" w:val="clear"/>
            <w:tcMar>
              <w:top w:type="dxa" w:w="50"/>
              <w:left w:type="dxa" w:w="80"/>
              <w:bottom w:type="dxa" w:w="50"/>
              <w:right w:type="dxa" w:w="80"/>
            </w:tcMar>
          </w:tcPr>
          <w:p>
            <w:pPr>
              <w:spacing w:after="0" w:line="226"/>
              <w:jc w:val="left"/>
            </w:pPr>
            <w:r>
              <w:rPr>
                <w:b/>
                <w:bCs/>
                <w:color w:val="FFFFFF"/>
                <w:sz w:val="18"/>
                <w:szCs w:val="18"/>
              </w:rPr>
              <w:t xml:space="preserve">Evidence</w:t>
            </w:r>
          </w:p>
        </w:tc>
      </w:tr>
      <w:tr>
        <w:tc>
          <w:tcPr>
            <w:tcW w:type="dxa" w:w="190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Outbound calls</w:t>
            </w:r>
          </w:p>
        </w:tc>
        <w:tc>
          <w:tcPr>
            <w:tcW w:type="dxa" w:w="2900"/>
            <w:tcBorders>
              <w:top w:val="single" w:color="C4D2E0" w:sz="4"/>
              <w:left w:val="single" w:color="C4D2E0" w:sz="4"/>
              <w:bottom w:val="single" w:color="C4D2E0" w:sz="4"/>
              <w:right w:val="single" w:color="C4D2E0" w:sz="4"/>
            </w:tcBorders>
            <w:shd w:fill="F6DADE" w:color="auto" w:val="clear"/>
            <w:tcMar>
              <w:top w:type="dxa" w:w="50"/>
              <w:left w:type="dxa" w:w="80"/>
              <w:bottom w:type="dxa" w:w="50"/>
              <w:right w:type="dxa" w:w="80"/>
            </w:tcMar>
          </w:tcPr>
          <w:p>
            <w:pPr>
              <w:spacing w:after="0" w:line="226"/>
              <w:jc w:val="left"/>
            </w:pPr>
            <w:r>
              <w:rPr>
                <w:b/>
                <w:bCs/>
                <w:color w:val="B0202E"/>
                <w:sz w:val="16"/>
                <w:szCs w:val="16"/>
              </w:rPr>
              <w:t xml:space="preserve">No</w:t>
            </w:r>
          </w:p>
        </w:tc>
        <w:tc>
          <w:tcPr>
            <w:tcW w:type="dxa" w:w="2400"/>
            <w:tcBorders>
              <w:top w:val="single" w:color="C4D2E0" w:sz="4"/>
              <w:left w:val="single" w:color="C4D2E0" w:sz="4"/>
              <w:bottom w:val="single" w:color="C4D2E0" w:sz="4"/>
              <w:right w:val="single" w:color="C4D2E0" w:sz="4"/>
            </w:tcBorders>
            <w:shd w:fill="F6DADE" w:color="auto" w:val="clear"/>
            <w:tcMar>
              <w:top w:type="dxa" w:w="50"/>
              <w:left w:type="dxa" w:w="80"/>
              <w:bottom w:type="dxa" w:w="50"/>
              <w:right w:type="dxa" w:w="80"/>
            </w:tcMar>
          </w:tcPr>
          <w:p>
            <w:pPr>
              <w:spacing w:after="0" w:line="226"/>
              <w:jc w:val="left"/>
            </w:pPr>
            <w:r>
              <w:rPr>
                <w:b/>
                <w:bCs/>
                <w:color w:val="B0202E"/>
                <w:sz w:val="16"/>
                <w:szCs w:val="16"/>
              </w:rPr>
              <w:t xml:space="preserve">No — a cost is computed internally but the customer-facing charge is $0 and nothing is deducted from the wallet</w:t>
            </w:r>
          </w:p>
        </w:tc>
        <w:tc>
          <w:tcPr>
            <w:tcW w:type="dxa" w:w="156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call_duration_used is 0 on every company; no "balance deducted" ledger row exists anywhere in billing history</w:t>
            </w:r>
          </w:p>
        </w:tc>
      </w:tr>
      <w:tr>
        <w:tc>
          <w:tcPr>
            <w:tcW w:type="dxa" w:w="190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Inbound calls</w:t>
            </w:r>
          </w:p>
        </w:tc>
        <w:tc>
          <w:tcPr>
            <w:tcW w:type="dxa" w:w="2900"/>
            <w:tcBorders>
              <w:top w:val="single" w:color="C4D2E0" w:sz="4"/>
              <w:left w:val="single" w:color="C4D2E0" w:sz="4"/>
              <w:bottom w:val="single" w:color="C4D2E0" w:sz="4"/>
              <w:right w:val="single" w:color="C4D2E0" w:sz="4"/>
            </w:tcBorders>
            <w:shd w:fill="F6DADE" w:color="auto" w:val="clear"/>
            <w:tcMar>
              <w:top w:type="dxa" w:w="50"/>
              <w:left w:type="dxa" w:w="80"/>
              <w:bottom w:type="dxa" w:w="50"/>
              <w:right w:type="dxa" w:w="80"/>
            </w:tcMar>
          </w:tcPr>
          <w:p>
            <w:pPr>
              <w:spacing w:after="0" w:line="226"/>
              <w:jc w:val="left"/>
            </w:pPr>
            <w:r>
              <w:rPr>
                <w:b/>
                <w:bCs/>
                <w:color w:val="B0202E"/>
                <w:sz w:val="16"/>
                <w:szCs w:val="16"/>
              </w:rPr>
              <w:t xml:space="preserve">No</w:t>
            </w:r>
          </w:p>
        </w:tc>
        <w:tc>
          <w:tcPr>
            <w:tcW w:type="dxa" w:w="2400"/>
            <w:tcBorders>
              <w:top w:val="single" w:color="C4D2E0" w:sz="4"/>
              <w:left w:val="single" w:color="C4D2E0" w:sz="4"/>
              <w:bottom w:val="single" w:color="C4D2E0" w:sz="4"/>
              <w:right w:val="single" w:color="C4D2E0" w:sz="4"/>
            </w:tcBorders>
            <w:shd w:fill="F6DADE" w:color="auto" w:val="clear"/>
            <w:tcMar>
              <w:top w:type="dxa" w:w="50"/>
              <w:left w:type="dxa" w:w="80"/>
              <w:bottom w:type="dxa" w:w="50"/>
              <w:right w:type="dxa" w:w="80"/>
            </w:tcMar>
          </w:tcPr>
          <w:p>
            <w:pPr>
              <w:spacing w:after="0" w:line="226"/>
              <w:jc w:val="left"/>
            </w:pPr>
            <w:r>
              <w:rPr>
                <w:b/>
                <w:bCs/>
                <w:color w:val="B0202E"/>
                <w:sz w:val="16"/>
                <w:szCs w:val="16"/>
              </w:rPr>
              <w:t xml:space="preserve">No — cannot even be rated</w:t>
            </w:r>
          </w:p>
        </w:tc>
        <w:tc>
          <w:tcPr>
            <w:tcW w:type="dxa" w:w="156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Every plan’s inbound rate card points at an ID that does not exist in the rate-card table</w:t>
            </w:r>
          </w:p>
        </w:tc>
      </w:tr>
      <w:tr>
        <w:tc>
          <w:tcPr>
            <w:tcW w:type="dxa" w:w="190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SMS / MMS</w:t>
            </w:r>
          </w:p>
        </w:tc>
        <w:tc>
          <w:tcPr>
            <w:tcW w:type="dxa" w:w="2900"/>
            <w:tcBorders>
              <w:top w:val="single" w:color="C4D2E0" w:sz="4"/>
              <w:left w:val="single" w:color="C4D2E0" w:sz="4"/>
              <w:bottom w:val="single" w:color="C4D2E0" w:sz="4"/>
              <w:right w:val="single" w:color="C4D2E0" w:sz="4"/>
            </w:tcBorders>
            <w:shd w:fill="F6DADE" w:color="auto" w:val="clear"/>
            <w:tcMar>
              <w:top w:type="dxa" w:w="50"/>
              <w:left w:type="dxa" w:w="80"/>
              <w:bottom w:type="dxa" w:w="50"/>
              <w:right w:type="dxa" w:w="80"/>
            </w:tcMar>
          </w:tcPr>
          <w:p>
            <w:pPr>
              <w:spacing w:after="0" w:line="226"/>
              <w:jc w:val="left"/>
            </w:pPr>
            <w:r>
              <w:rPr>
                <w:b/>
                <w:bCs/>
                <w:color w:val="B0202E"/>
                <w:sz w:val="16"/>
                <w:szCs w:val="16"/>
              </w:rPr>
              <w:t xml:space="preserve">No</w:t>
            </w:r>
          </w:p>
        </w:tc>
        <w:tc>
          <w:tcPr>
            <w:tcW w:type="dxa" w:w="2400"/>
            <w:tcBorders>
              <w:top w:val="single" w:color="C4D2E0" w:sz="4"/>
              <w:left w:val="single" w:color="C4D2E0" w:sz="4"/>
              <w:bottom w:val="single" w:color="C4D2E0" w:sz="4"/>
              <w:right w:val="single" w:color="C4D2E0" w:sz="4"/>
            </w:tcBorders>
            <w:shd w:fill="F6DADE" w:color="auto" w:val="clear"/>
            <w:tcMar>
              <w:top w:type="dxa" w:w="50"/>
              <w:left w:type="dxa" w:w="80"/>
              <w:bottom w:type="dxa" w:w="50"/>
              <w:right w:type="dxa" w:w="80"/>
            </w:tcMar>
          </w:tcPr>
          <w:p>
            <w:pPr>
              <w:spacing w:after="0" w:line="226"/>
              <w:jc w:val="left"/>
            </w:pPr>
            <w:r>
              <w:rPr>
                <w:b/>
                <w:bCs/>
                <w:color w:val="B0202E"/>
                <w:sz w:val="16"/>
                <w:szCs w:val="16"/>
              </w:rPr>
              <w:t xml:space="preserve">No</w:t>
            </w:r>
          </w:p>
        </w:tc>
        <w:tc>
          <w:tcPr>
            <w:tcW w:type="dxa" w:w="156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SMS rate cards are loaded and real; no usage rows or charges exist</w:t>
            </w:r>
          </w:p>
        </w:tc>
      </w:tr>
      <w:tr>
        <w:tc>
          <w:tcPr>
            <w:tcW w:type="dxa" w:w="190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Fax</w:t>
            </w:r>
          </w:p>
        </w:tc>
        <w:tc>
          <w:tcPr>
            <w:tcW w:type="dxa" w:w="2900"/>
            <w:tcBorders>
              <w:top w:val="single" w:color="C4D2E0" w:sz="4"/>
              <w:left w:val="single" w:color="C4D2E0" w:sz="4"/>
              <w:bottom w:val="single" w:color="C4D2E0" w:sz="4"/>
              <w:right w:val="single" w:color="C4D2E0" w:sz="4"/>
            </w:tcBorders>
            <w:shd w:fill="F6DADE" w:color="auto" w:val="clear"/>
            <w:tcMar>
              <w:top w:type="dxa" w:w="50"/>
              <w:left w:type="dxa" w:w="80"/>
              <w:bottom w:type="dxa" w:w="50"/>
              <w:right w:type="dxa" w:w="80"/>
            </w:tcMar>
          </w:tcPr>
          <w:p>
            <w:pPr>
              <w:spacing w:after="0" w:line="226"/>
              <w:jc w:val="left"/>
            </w:pPr>
            <w:r>
              <w:rPr>
                <w:b/>
                <w:bCs/>
                <w:color w:val="B0202E"/>
                <w:sz w:val="16"/>
                <w:szCs w:val="16"/>
              </w:rPr>
              <w:t xml:space="preserve">No</w:t>
            </w:r>
          </w:p>
        </w:tc>
        <w:tc>
          <w:tcPr>
            <w:tcW w:type="dxa" w:w="2400"/>
            <w:tcBorders>
              <w:top w:val="single" w:color="C4D2E0" w:sz="4"/>
              <w:left w:val="single" w:color="C4D2E0" w:sz="4"/>
              <w:bottom w:val="single" w:color="C4D2E0" w:sz="4"/>
              <w:right w:val="single" w:color="C4D2E0" w:sz="4"/>
            </w:tcBorders>
            <w:shd w:fill="F6DADE" w:color="auto" w:val="clear"/>
            <w:tcMar>
              <w:top w:type="dxa" w:w="50"/>
              <w:left w:type="dxa" w:w="80"/>
              <w:bottom w:type="dxa" w:w="50"/>
              <w:right w:type="dxa" w:w="80"/>
            </w:tcMar>
          </w:tcPr>
          <w:p>
            <w:pPr>
              <w:spacing w:after="0" w:line="226"/>
              <w:jc w:val="left"/>
            </w:pPr>
            <w:r>
              <w:rPr>
                <w:b/>
                <w:bCs/>
                <w:color w:val="B0202E"/>
                <w:sz w:val="16"/>
                <w:szCs w:val="16"/>
              </w:rPr>
              <w:t xml:space="preserve">No</w:t>
            </w:r>
          </w:p>
        </w:tc>
        <w:tc>
          <w:tcPr>
            <w:tcW w:type="dxa" w:w="156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Rate card exists; no usage rows or charges exist</w:t>
            </w:r>
          </w:p>
        </w:tc>
      </w:tr>
      <w:tr>
        <w:tc>
          <w:tcPr>
            <w:tcW w:type="dxa" w:w="190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Number (DID) rental</w:t>
            </w:r>
          </w:p>
        </w:tc>
        <w:tc>
          <w:tcPr>
            <w:tcW w:type="dxa" w:w="2900"/>
            <w:tcBorders>
              <w:top w:val="single" w:color="C4D2E0" w:sz="4"/>
              <w:left w:val="single" w:color="C4D2E0" w:sz="4"/>
              <w:bottom w:val="single" w:color="C4D2E0" w:sz="4"/>
              <w:right w:val="single" w:color="C4D2E0" w:sz="4"/>
            </w:tcBorders>
            <w:shd w:fill="FBEAD2" w:color="auto" w:val="clear"/>
            <w:tcMar>
              <w:top w:type="dxa" w:w="50"/>
              <w:left w:type="dxa" w:w="80"/>
              <w:bottom w:type="dxa" w:w="50"/>
              <w:right w:type="dxa" w:w="80"/>
            </w:tcMar>
          </w:tcPr>
          <w:p>
            <w:pPr>
              <w:spacing w:after="0" w:line="226"/>
              <w:jc w:val="left"/>
            </w:pPr>
            <w:r>
              <w:rPr>
                <w:b/>
                <w:bCs/>
                <w:color w:val="B45309"/>
                <w:sz w:val="16"/>
                <w:szCs w:val="16"/>
              </w:rPr>
              <w:t xml:space="preserve">N/A — recurring, not per-use</w:t>
            </w:r>
          </w:p>
        </w:tc>
        <w:tc>
          <w:tcPr>
            <w:tcW w:type="dxa" w:w="2400"/>
            <w:tcBorders>
              <w:top w:val="single" w:color="C4D2E0" w:sz="4"/>
              <w:left w:val="single" w:color="C4D2E0" w:sz="4"/>
              <w:bottom w:val="single" w:color="C4D2E0" w:sz="4"/>
              <w:right w:val="single" w:color="C4D2E0" w:sz="4"/>
            </w:tcBorders>
            <w:shd w:fill="F6DADE" w:color="auto" w:val="clear"/>
            <w:tcMar>
              <w:top w:type="dxa" w:w="50"/>
              <w:left w:type="dxa" w:w="80"/>
              <w:bottom w:type="dxa" w:w="50"/>
              <w:right w:type="dxa" w:w="80"/>
            </w:tcMar>
          </w:tcPr>
          <w:p>
            <w:pPr>
              <w:spacing w:after="0" w:line="226"/>
              <w:jc w:val="left"/>
            </w:pPr>
            <w:r>
              <w:rPr>
                <w:b/>
                <w:bCs/>
                <w:color w:val="B0202E"/>
                <w:sz w:val="16"/>
                <w:szCs w:val="16"/>
              </w:rPr>
              <w:t xml:space="preserve">Nominally yes, but wrong</w:t>
            </w:r>
          </w:p>
        </w:tc>
        <w:tc>
          <w:tcPr>
            <w:tcW w:type="dxa" w:w="156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19 rental bills exist, every one for $0.00</w:t>
            </w:r>
          </w:p>
        </w:tc>
      </w:tr>
      <w:tr>
        <w:tc>
          <w:tcPr>
            <w:tcW w:type="dxa" w:w="190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Storage overage</w:t>
            </w:r>
          </w:p>
        </w:tc>
        <w:tc>
          <w:tcPr>
            <w:tcW w:type="dxa" w:w="2900"/>
            <w:tcBorders>
              <w:top w:val="single" w:color="C4D2E0" w:sz="4"/>
              <w:left w:val="single" w:color="C4D2E0" w:sz="4"/>
              <w:bottom w:val="single" w:color="C4D2E0" w:sz="4"/>
              <w:right w:val="single" w:color="C4D2E0" w:sz="4"/>
            </w:tcBorders>
            <w:shd w:fill="FBEAD2" w:color="auto" w:val="clear"/>
            <w:tcMar>
              <w:top w:type="dxa" w:w="50"/>
              <w:left w:type="dxa" w:w="80"/>
              <w:bottom w:type="dxa" w:w="50"/>
              <w:right w:type="dxa" w:w="80"/>
            </w:tcMar>
          </w:tcPr>
          <w:p>
            <w:pPr>
              <w:spacing w:after="0" w:line="226"/>
              <w:jc w:val="left"/>
            </w:pPr>
            <w:r>
              <w:rPr>
                <w:b/>
                <w:bCs/>
                <w:color w:val="B45309"/>
                <w:sz w:val="16"/>
                <w:szCs w:val="16"/>
              </w:rPr>
              <w:t xml:space="preserve">N/A — recurring</w:t>
            </w:r>
          </w:p>
        </w:tc>
        <w:tc>
          <w:tcPr>
            <w:tcW w:type="dxa" w:w="2400"/>
            <w:tcBorders>
              <w:top w:val="single" w:color="C4D2E0" w:sz="4"/>
              <w:left w:val="single" w:color="C4D2E0" w:sz="4"/>
              <w:bottom w:val="single" w:color="C4D2E0" w:sz="4"/>
              <w:right w:val="single" w:color="C4D2E0" w:sz="4"/>
            </w:tcBorders>
            <w:shd w:fill="DCEFE1" w:color="auto" w:val="clear"/>
            <w:tcMar>
              <w:top w:type="dxa" w:w="50"/>
              <w:left w:type="dxa" w:w="80"/>
              <w:bottom w:type="dxa" w:w="50"/>
              <w:right w:type="dxa" w:w="80"/>
            </w:tcMar>
          </w:tcPr>
          <w:p>
            <w:pPr>
              <w:spacing w:after="0" w:line="226"/>
              <w:jc w:val="left"/>
            </w:pPr>
            <w:r>
              <w:rPr>
                <w:b/>
                <w:bCs/>
                <w:color w:val="1B7F3B"/>
                <w:sz w:val="16"/>
                <w:szCs w:val="16"/>
              </w:rPr>
              <w:t xml:space="preserve">Yes — this one is correct</w:t>
            </w:r>
          </w:p>
        </w:tc>
        <w:tc>
          <w:tcPr>
            <w:tcW w:type="dxa" w:w="156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Per-GB price set, nightly renewal job, usage synced every 15 minutes</w:t>
            </w:r>
          </w:p>
        </w:tc>
      </w:tr>
      <w:tr>
        <w:tc>
          <w:tcPr>
            <w:tcW w:type="dxa" w:w="190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AI voice sessions</w:t>
            </w:r>
          </w:p>
        </w:tc>
        <w:tc>
          <w:tcPr>
            <w:tcW w:type="dxa" w:w="2900"/>
            <w:tcBorders>
              <w:top w:val="single" w:color="C4D2E0" w:sz="4"/>
              <w:left w:val="single" w:color="C4D2E0" w:sz="4"/>
              <w:bottom w:val="single" w:color="C4D2E0" w:sz="4"/>
              <w:right w:val="single" w:color="C4D2E0" w:sz="4"/>
            </w:tcBorders>
            <w:shd w:fill="DCEFE1" w:color="auto" w:val="clear"/>
            <w:tcMar>
              <w:top w:type="dxa" w:w="50"/>
              <w:left w:type="dxa" w:w="80"/>
              <w:bottom w:type="dxa" w:w="50"/>
              <w:right w:type="dxa" w:w="80"/>
            </w:tcMar>
          </w:tcPr>
          <w:p>
            <w:pPr>
              <w:spacing w:after="0" w:line="226"/>
              <w:jc w:val="left"/>
            </w:pPr>
            <w:r>
              <w:rPr>
                <w:b/>
                <w:bCs/>
                <w:color w:val="1B7F3B"/>
                <w:sz w:val="16"/>
                <w:szCs w:val="16"/>
              </w:rPr>
              <w:t xml:space="preserve">Yes — an explicit pre-check refuses to start a session once free minutes are used up and the wallet balance is below the per-minute rate</w:t>
            </w:r>
          </w:p>
        </w:tc>
        <w:tc>
          <w:tcPr>
            <w:tcW w:type="dxa" w:w="2400"/>
            <w:tcBorders>
              <w:top w:val="single" w:color="C4D2E0" w:sz="4"/>
              <w:left w:val="single" w:color="C4D2E0" w:sz="4"/>
              <w:bottom w:val="single" w:color="C4D2E0" w:sz="4"/>
              <w:right w:val="single" w:color="C4D2E0" w:sz="4"/>
            </w:tcBorders>
            <w:shd w:fill="DCEFE1" w:color="auto" w:val="clear"/>
            <w:tcMar>
              <w:top w:type="dxa" w:w="50"/>
              <w:left w:type="dxa" w:w="80"/>
              <w:bottom w:type="dxa" w:w="50"/>
              <w:right w:type="dxa" w:w="80"/>
            </w:tcMar>
          </w:tcPr>
          <w:p>
            <w:pPr>
              <w:spacing w:after="0" w:line="226"/>
              <w:jc w:val="left"/>
            </w:pPr>
            <w:r>
              <w:rPr>
                <w:b/>
                <w:bCs/>
                <w:color w:val="1B7F3B"/>
                <w:sz w:val="16"/>
                <w:szCs w:val="16"/>
              </w:rPr>
              <w:t xml:space="preserve">Yes — charged at session end inside a database transaction with a row lock, free allowance drawn down first, then the wallet</w:t>
            </w:r>
          </w:p>
        </w:tc>
        <w:tc>
          <w:tcPr>
            <w:tcW w:type="dxa" w:w="156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49 sessions charged, 129 billable minutes, $0.84 taken from wallets — live and running</w:t>
            </w:r>
          </w:p>
        </w:tc>
      </w:tr>
      <w:tr>
        <w:tc>
          <w:tcPr>
            <w:tcW w:type="dxa" w:w="190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AI chat sessions</w:t>
            </w:r>
          </w:p>
        </w:tc>
        <w:tc>
          <w:tcPr>
            <w:tcW w:type="dxa" w:w="2900"/>
            <w:tcBorders>
              <w:top w:val="single" w:color="C4D2E0" w:sz="4"/>
              <w:left w:val="single" w:color="C4D2E0" w:sz="4"/>
              <w:bottom w:val="single" w:color="C4D2E0" w:sz="4"/>
              <w:right w:val="single" w:color="C4D2E0" w:sz="4"/>
            </w:tcBorders>
            <w:shd w:fill="FBEAD2" w:color="auto" w:val="clear"/>
            <w:tcMar>
              <w:top w:type="dxa" w:w="50"/>
              <w:left w:type="dxa" w:w="80"/>
              <w:bottom w:type="dxa" w:w="50"/>
              <w:right w:type="dxa" w:w="80"/>
            </w:tcMar>
          </w:tcPr>
          <w:p>
            <w:pPr>
              <w:spacing w:after="0" w:line="226"/>
              <w:jc w:val="left"/>
            </w:pPr>
            <w:r>
              <w:rPr>
                <w:b/>
                <w:bCs/>
                <w:color w:val="B45309"/>
                <w:sz w:val="16"/>
                <w:szCs w:val="16"/>
              </w:rPr>
              <w:t xml:space="preserve">Partial — free replies are drawn down one at a time; billing continues once they run out</w:t>
            </w:r>
          </w:p>
        </w:tc>
        <w:tc>
          <w:tcPr>
            <w:tcW w:type="dxa" w:w="2400"/>
            <w:tcBorders>
              <w:top w:val="single" w:color="C4D2E0" w:sz="4"/>
              <w:left w:val="single" w:color="C4D2E0" w:sz="4"/>
              <w:bottom w:val="single" w:color="C4D2E0" w:sz="4"/>
              <w:right w:val="single" w:color="C4D2E0" w:sz="4"/>
            </w:tcBorders>
            <w:shd w:fill="DCEFE1" w:color="auto" w:val="clear"/>
            <w:tcMar>
              <w:top w:type="dxa" w:w="50"/>
              <w:left w:type="dxa" w:w="80"/>
              <w:bottom w:type="dxa" w:w="50"/>
              <w:right w:type="dxa" w:w="80"/>
            </w:tcMar>
          </w:tcPr>
          <w:p>
            <w:pPr>
              <w:spacing w:after="0" w:line="226"/>
              <w:jc w:val="left"/>
            </w:pPr>
            <w:r>
              <w:rPr>
                <w:b/>
                <w:bCs/>
                <w:color w:val="1B7F3B"/>
                <w:sz w:val="16"/>
                <w:szCs w:val="16"/>
              </w:rPr>
              <w:t xml:space="preserve">Yes for usage beyond the free allowance, though the billing status is not recorded on the session</w:t>
            </w:r>
          </w:p>
        </w:tc>
        <w:tc>
          <w:tcPr>
            <w:tcW w:type="dxa" w:w="156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45 sessions, 146 units, $0 charged this period (allowance covered them)</w:t>
            </w:r>
          </w:p>
        </w:tc>
      </w:tr>
    </w:tbl>
    <w:p>
      <w:pPr>
        <w:pStyle w:val="Heading2"/>
        <w:spacing w:after="75" w:before="190"/>
      </w:pPr>
      <w:r>
        <w:t xml:space="preserve">4.1 The AI agent is the working reference — the exact condition it checks</w:t>
      </w:r>
    </w:p>
    <w:p>
      <w:pPr>
        <w:spacing w:after="120" w:line="288"/>
      </w:pPr>
      <w:r>
        <w:t xml:space="preserve">One part of the platform already implements precisely the "before-call balance check" that calling, SMS, and fax are missing. In plain English, before an AI voice session is allowed to proceed, the system asks: </w:t>
      </w:r>
      <w:r>
        <w:rPr>
          <w:b/>
          <w:bCs/>
        </w:rPr>
        <w:t xml:space="preserve">has the free-minutes allowance already run out, AND is the per-minute rate above zero, AND is the wallet balance below that rate?</w:t>
      </w:r>
      <w:r>
        <w:t xml:space="preserve"> If all three are true, the session is refused before it starts. If not, it proceeds, and at the end the cost is drawn from free minutes first, then the wallet — inside a database transaction with a row lock, so two sessions can't both spend the last dollar at once. This is the condition Dialpad's "no credits, no call" model implies, already written and running in this codebase — just not for the services that most need it.</w:t>
      </w:r>
    </w:p>
    <w:p>
      <w:pPr>
        <w:pBdr>
          <w:left w:val="single" w:color="B45309" w:sz="18"/>
        </w:pBdr>
        <w:shd w:fill="F3F6FA" w:color="auto" w:val="clear"/>
        <w:spacing w:after="130" w:before="40" w:line="276"/>
        <w:ind w:left="150"/>
      </w:pPr>
      <w:r>
        <w:rPr>
          <w:b/>
          <w:bCs/>
          <w:color w:val="B45309"/>
        </w:rPr>
        <w:t xml:space="preserve">Three small gaps even in the working AI path:  </w:t>
      </w:r>
      <w:r>
        <w:t xml:space="preserve">no ledger row is written when the wallet is debited, so the charge is invisible on the invoice/statement/usage screen even though it genuinely happened; chat sessions don't record a paid-vs-free status; and a company whose renewal fails keeps a decremented allowance indefinitely since only the renewal path resets it. All three are small, targeted fixes — not a redesign.</w:t>
      </w:r>
    </w:p>
    <w:p>
      <w:pPr>
        <w:pStyle w:val="Heading2"/>
        <w:spacing w:after="75" w:before="190"/>
      </w:pPr>
      <w:r>
        <w:t xml:space="preserve">4.2 The reusable pattern: one "bucket" object, not five different systems</w:t>
      </w:r>
    </w:p>
    <w:p>
      <w:pPr>
        <w:spacing w:after="120" w:line="288"/>
      </w:pPr>
      <w:r>
        <w:t xml:space="preserve">The AI metering engine is, underneath, one general-purpose object: a bucket of units, attached to a plan or license, reset every billing cycle, consumed before the wallet, scoped to a defined set of services or destinations. That same object — built once — is what every Dialpad-style calling add-on described in Section 6 actually needs:</w:t>
      </w:r>
    </w:p>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700"/>
        <w:gridCol w:w="3080"/>
      </w:tblGrid>
      <w:tr>
        <w:trPr>
          <w:tblHeader/>
        </w:trPr>
        <w:tc>
          <w:tcPr>
            <w:tcW w:type="dxa" w:w="2500"/>
            <w:tcBorders>
              <w:top w:val="single" w:color="C4D2E0" w:sz="4"/>
              <w:left w:val="single" w:color="C4D2E0" w:sz="4"/>
              <w:bottom w:val="single" w:color="C4D2E0" w:sz="4"/>
              <w:right w:val="single" w:color="C4D2E0" w:sz="4"/>
            </w:tcBorders>
            <w:shd w:fill="17365D" w:color="auto" w:val="clear"/>
            <w:tcMar>
              <w:top w:type="dxa" w:w="50"/>
              <w:left w:type="dxa" w:w="80"/>
              <w:bottom w:type="dxa" w:w="50"/>
              <w:right w:type="dxa" w:w="80"/>
            </w:tcMar>
          </w:tcPr>
          <w:p>
            <w:pPr>
              <w:spacing w:after="0" w:line="226"/>
              <w:jc w:val="left"/>
            </w:pPr>
            <w:r>
              <w:rPr>
                <w:b/>
                <w:bCs/>
                <w:color w:val="FFFFFF"/>
                <w:sz w:val="18"/>
                <w:szCs w:val="18"/>
              </w:rPr>
              <w:t xml:space="preserve">Bucket instance</w:t>
            </w:r>
          </w:p>
        </w:tc>
        <w:tc>
          <w:tcPr>
            <w:tcW w:type="dxa" w:w="1600"/>
            <w:tcBorders>
              <w:top w:val="single" w:color="C4D2E0" w:sz="4"/>
              <w:left w:val="single" w:color="C4D2E0" w:sz="4"/>
              <w:bottom w:val="single" w:color="C4D2E0" w:sz="4"/>
              <w:right w:val="single" w:color="C4D2E0" w:sz="4"/>
            </w:tcBorders>
            <w:shd w:fill="17365D" w:color="auto" w:val="clear"/>
            <w:tcMar>
              <w:top w:type="dxa" w:w="50"/>
              <w:left w:type="dxa" w:w="80"/>
              <w:bottom w:type="dxa" w:w="50"/>
              <w:right w:type="dxa" w:w="80"/>
            </w:tcMar>
          </w:tcPr>
          <w:p>
            <w:pPr>
              <w:spacing w:after="0" w:line="226"/>
              <w:jc w:val="left"/>
            </w:pPr>
            <w:r>
              <w:rPr>
                <w:b/>
                <w:bCs/>
                <w:color w:val="FFFFFF"/>
                <w:sz w:val="18"/>
                <w:szCs w:val="18"/>
              </w:rPr>
              <w:t xml:space="preserve">Units</w:t>
            </w:r>
          </w:p>
        </w:tc>
        <w:tc>
          <w:tcPr>
            <w:tcW w:type="dxa" w:w="1700"/>
            <w:tcBorders>
              <w:top w:val="single" w:color="C4D2E0" w:sz="4"/>
              <w:left w:val="single" w:color="C4D2E0" w:sz="4"/>
              <w:bottom w:val="single" w:color="C4D2E0" w:sz="4"/>
              <w:right w:val="single" w:color="C4D2E0" w:sz="4"/>
            </w:tcBorders>
            <w:shd w:fill="17365D" w:color="auto" w:val="clear"/>
            <w:tcMar>
              <w:top w:type="dxa" w:w="50"/>
              <w:left w:type="dxa" w:w="80"/>
              <w:bottom w:type="dxa" w:w="50"/>
              <w:right w:type="dxa" w:w="80"/>
            </w:tcMar>
          </w:tcPr>
          <w:p>
            <w:pPr>
              <w:spacing w:after="0" w:line="226"/>
              <w:jc w:val="left"/>
            </w:pPr>
            <w:r>
              <w:rPr>
                <w:b/>
                <w:bCs/>
                <w:color w:val="FFFFFF"/>
                <w:sz w:val="18"/>
                <w:szCs w:val="18"/>
              </w:rPr>
              <w:t xml:space="preserve">Scope</w:t>
            </w:r>
          </w:p>
        </w:tc>
        <w:tc>
          <w:tcPr>
            <w:tcW w:type="dxa" w:w="3080"/>
            <w:tcBorders>
              <w:top w:val="single" w:color="C4D2E0" w:sz="4"/>
              <w:left w:val="single" w:color="C4D2E0" w:sz="4"/>
              <w:bottom w:val="single" w:color="C4D2E0" w:sz="4"/>
              <w:right w:val="single" w:color="C4D2E0" w:sz="4"/>
            </w:tcBorders>
            <w:shd w:fill="17365D" w:color="auto" w:val="clear"/>
            <w:tcMar>
              <w:top w:type="dxa" w:w="50"/>
              <w:left w:type="dxa" w:w="80"/>
              <w:bottom w:type="dxa" w:w="50"/>
              <w:right w:type="dxa" w:w="80"/>
            </w:tcMar>
          </w:tcPr>
          <w:p>
            <w:pPr>
              <w:spacing w:after="0" w:line="226"/>
              <w:jc w:val="left"/>
            </w:pPr>
            <w:r>
              <w:rPr>
                <w:b/>
                <w:bCs/>
                <w:color w:val="FFFFFF"/>
                <w:sz w:val="18"/>
                <w:szCs w:val="18"/>
              </w:rPr>
              <w:t xml:space="preserve">Status</w:t>
            </w:r>
          </w:p>
        </w:tc>
      </w:tr>
      <w:tr>
        <w:tc>
          <w:tcPr>
            <w:tcW w:type="dxa" w:w="250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AI agent credits</w:t>
            </w:r>
          </w:p>
        </w:tc>
        <w:tc>
          <w:tcPr>
            <w:tcW w:type="dxa" w:w="160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750 minutes (example plan)</w:t>
            </w:r>
          </w:p>
        </w:tc>
        <w:tc>
          <w:tcPr>
            <w:tcW w:type="dxa" w:w="170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AI voice/chat only</w:t>
            </w:r>
          </w:p>
        </w:tc>
        <w:tc>
          <w:tcPr>
            <w:tcW w:type="dxa" w:w="308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Built and running</w:t>
            </w:r>
          </w:p>
        </w:tc>
      </w:tr>
      <w:tr>
        <w:tc>
          <w:tcPr>
            <w:tcW w:type="dxa" w:w="250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Global Unlimited Calling</w:t>
            </w:r>
          </w:p>
        </w:tc>
        <w:tc>
          <w:tcPr>
            <w:tcW w:type="dxa" w:w="160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8,000 minutes/license</w:t>
            </w:r>
          </w:p>
        </w:tc>
        <w:tc>
          <w:tcPr>
            <w:tcW w:type="dxa" w:w="170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65 countries, international</w:t>
            </w:r>
          </w:p>
        </w:tc>
        <w:tc>
          <w:tcPr>
            <w:tcW w:type="dxa" w:w="308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Not built — needs calling to be metered first</w:t>
            </w:r>
          </w:p>
        </w:tc>
      </w:tr>
      <w:tr>
        <w:tc>
          <w:tcPr>
            <w:tcW w:type="dxa" w:w="250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Unlimited Domestic Calling</w:t>
            </w:r>
          </w:p>
        </w:tc>
        <w:tc>
          <w:tcPr>
            <w:tcW w:type="dxa" w:w="160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3,000 minutes/license</w:t>
            </w:r>
          </w:p>
        </w:tc>
        <w:tc>
          <w:tcPr>
            <w:tcW w:type="dxa" w:w="170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Home-country calls</w:t>
            </w:r>
          </w:p>
        </w:tc>
        <w:tc>
          <w:tcPr>
            <w:tcW w:type="dxa" w:w="308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Not built — same blocker</w:t>
            </w:r>
          </w:p>
        </w:tc>
      </w:tr>
      <w:tr>
        <w:tc>
          <w:tcPr>
            <w:tcW w:type="dxa" w:w="250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Plan calling minutes</w:t>
            </w:r>
          </w:p>
        </w:tc>
        <w:tc>
          <w:tcPr>
            <w:tcW w:type="dxa" w:w="160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Plan-defined</w:t>
            </w:r>
          </w:p>
        </w:tc>
        <w:tc>
          <w:tcPr>
            <w:tcW w:type="dxa" w:w="170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Plan's included countries</w:t>
            </w:r>
          </w:p>
        </w:tc>
        <w:tc>
          <w:tcPr>
            <w:tcW w:type="dxa" w:w="308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Not built — same blocker</w:t>
            </w:r>
          </w:p>
        </w:tc>
      </w:tr>
    </w:tbl>
    <w:p>
      <w:pPr>
        <w:pBdr>
          <w:left w:val="single" w:color="2E5A82" w:sz="18"/>
        </w:pBdr>
        <w:shd w:fill="F3F6FA" w:color="auto" w:val="clear"/>
        <w:spacing w:after="130" w:before="40" w:line="276"/>
        <w:ind w:left="150"/>
      </w:pPr>
      <w:r>
        <w:rPr>
          <w:b/>
          <w:bCs/>
          <w:color w:val="2E5A82"/>
        </w:rPr>
        <w:t xml:space="preserve">The practical implication:  </w:t>
      </w:r>
      <w:r>
        <w:t xml:space="preserve">the metering project in Section 11 is smaller and lower-risk than it looks in isolation, because the design does not need to be invented — it needs to be lifted from the AI path onto calling, SMS, and fax, plus one missing piece (the ledger row) added to both at once.</w:t>
      </w:r>
    </w:p>
    <w:p>
      <w:pPr>
        <w:pStyle w:val="Heading1"/>
        <w:spacing w:after="110" w:before="300"/>
      </w:pPr>
      <w:r>
        <w:t xml:space="preserve">5. Usage &amp; credits — the metering engine</w:t>
      </w:r>
    </w:p>
    <w:p>
      <w:pPr>
        <w:pStyle w:val="Heading2"/>
        <w:spacing w:after="75" w:before="190"/>
      </w:pPr>
      <w:r>
        <w:t xml:space="preserve">5.1 What Dialpad has</w:t>
      </w:r>
    </w:p>
    <w:p>
      <w:pPr>
        <w:pStyle w:val="ListParagraph"/>
        <w:numPr>
          <w:ilvl w:val="0"/>
          <w:numId w:val="2"/>
        </w:numPr>
        <w:spacing w:after="58" w:line="266"/>
      </w:pPr>
      <w:r>
        <w:t xml:space="preserve">Usage-based credits cover calling, toll-free, messaging, fax, AI Agent conversations and routing — each metered differently: calls per minute (rate varies by destination), SMS per 160-character segment (70 for Unicode), fax per page.</w:t>
      </w:r>
    </w:p>
    <w:p>
      <w:pPr>
        <w:pStyle w:val="ListParagraph"/>
        <w:numPr>
          <w:ilvl w:val="0"/>
          <w:numId w:val="2"/>
        </w:numPr>
        <w:spacing w:after="58" w:line="266"/>
      </w:pPr>
      <w:r>
        <w:t xml:space="preserve">A defined consumption order: plan allowance is drawn down first, then a matching commitment wallet, then an overflow "Dialpad Credits" pool — so admins always know which bucket is paying.</w:t>
      </w:r>
    </w:p>
    <w:p>
      <w:pPr>
        <w:pStyle w:val="ListParagraph"/>
        <w:numPr>
          <w:ilvl w:val="0"/>
          <w:numId w:val="2"/>
        </w:numPr>
        <w:spacing w:after="58" w:line="266"/>
      </w:pPr>
      <w:r>
        <w:t xml:space="preserve">Every call/message is a detailed record — user, timestamp, phone number, call type, duration, wallet source, cost, and the rate applied — exportable as CSV for any date range.</w:t>
      </w:r>
    </w:p>
    <w:p>
      <w:pPr>
        <w:pStyle w:val="ListParagraph"/>
        <w:numPr>
          <w:ilvl w:val="0"/>
          <w:numId w:val="2"/>
        </w:numPr>
        <w:spacing w:after="58" w:line="266"/>
      </w:pPr>
      <w:r>
        <w:t xml:space="preserve">A separate Credits Analytics dashboard (Billing → Credits and Usage) filters by date range, service (calls/fax/messaging/agentic voice/agentic digital/omnichannel/speech IVR), and subtype (domestic/international/toll-free/CC inbound/CC outbound), surfaces a "top service this month" and daily spend trend, and exports to CSV or Excel with the admin's chosen column order preserved.</w:t>
      </w:r>
    </w:p>
    <w:p>
      <w:pPr>
        <w:pStyle w:val="Heading2"/>
        <w:spacing w:after="75" w:before="190"/>
      </w:pPr>
      <w:r>
        <w:t xml:space="preserve">5.2 What MCM has</w:t>
      </w:r>
    </w:p>
    <w:p>
      <w:pPr>
        <w:pStyle w:val="ListParagraph"/>
        <w:numPr>
          <w:ilvl w:val="0"/>
          <w:numId w:val="2"/>
        </w:numPr>
        <w:spacing w:after="58" w:line="266"/>
      </w:pPr>
      <w:r>
        <w:rPr>
          <w:b/>
          <w:bCs/>
          <w:color w:val="1B7F3B"/>
        </w:rPr>
        <w:t xml:space="preserve">Real: </w:t>
      </w:r>
      <w:r>
        <w:t xml:space="preserve">domestic per-minute rates and an SMS rate lookup (</w:t>
      </w:r>
      <w:r>
        <w:rPr>
          <w:rFonts w:ascii="Consolas" w:cs="Consolas" w:eastAsia="Consolas" w:hAnsi="Consolas"/>
          <w:color w:val="17365D"/>
          <w:sz w:val="17"/>
          <w:szCs w:val="17"/>
        </w:rPr>
        <w:t xml:space="preserve">getSmsRate</w:t>
      </w:r>
      <w:r>
        <w:t xml:space="preserve">) both call live endpoints; a date-range-filtered usage screen with CSV export exists (</w:t>
      </w:r>
      <w:r>
        <w:rPr>
          <w:rFonts w:ascii="Consolas" w:cs="Consolas" w:eastAsia="Consolas" w:hAnsi="Consolas"/>
          <w:color w:val="17365D"/>
          <w:sz w:val="17"/>
          <w:szCs w:val="17"/>
        </w:rPr>
        <w:t xml:space="preserve">usage/index.tsx</w:t>
      </w:r>
      <w:r>
        <w:t xml:space="preserve">).</w:t>
      </w:r>
    </w:p>
    <w:p>
      <w:pPr>
        <w:pStyle w:val="ListParagraph"/>
        <w:numPr>
          <w:ilvl w:val="0"/>
          <w:numId w:val="2"/>
        </w:numPr>
        <w:spacing w:after="58" w:line="266"/>
      </w:pPr>
      <w:r>
        <w:rPr>
          <w:b/>
          <w:bCs/>
          <w:color w:val="B0202E"/>
        </w:rPr>
        <w:t xml:space="preserve">Missing: </w:t>
      </w:r>
      <w:r>
        <w:t xml:space="preserve">no international/toll-free rate split (the code itself flags toll-free as "not reported back yet"), no fax-per-page billing, no allowance→wallet→overflow consumption order — MCM has one flat wallet balance, not tiered buckets — and the CSV export is aggregated (Group/Type/Spent/Calls/Talk-time) rather than the granular per-call record Dialpad provides.</w:t>
      </w:r>
    </w:p>
    <w:p>
      <w:pPr>
        <w:pStyle w:val="Heading2"/>
        <w:spacing w:after="75" w:before="190"/>
      </w:pPr>
      <w:r>
        <w:t xml:space="preserve">5.3 Credits analytics dashboard</w:t>
      </w:r>
    </w:p>
    <w:p>
      <w:pPr>
        <w:pStyle w:val="ListParagraph"/>
        <w:numPr>
          <w:ilvl w:val="0"/>
          <w:numId w:val="2"/>
        </w:numPr>
        <w:spacing w:after="58" w:line="266"/>
      </w:pPr>
      <w:r>
        <w:rPr>
          <w:b/>
          <w:bCs/>
          <w:color w:val="1B7F3B"/>
        </w:rPr>
        <w:t xml:space="preserve">Real: </w:t>
      </w:r>
      <w:r>
        <w:t xml:space="preserve">date-range filter (this month / last month / 3 / 6 months).</w:t>
      </w:r>
    </w:p>
    <w:p>
      <w:pPr>
        <w:pStyle w:val="ListParagraph"/>
        <w:numPr>
          <w:ilvl w:val="0"/>
          <w:numId w:val="2"/>
        </w:numPr>
        <w:spacing w:after="58" w:line="266"/>
      </w:pPr>
      <w:r>
        <w:rPr>
          <w:b/>
          <w:bCs/>
          <w:color w:val="B0202E"/>
        </w:rPr>
        <w:t xml:space="preserve">Missing: </w:t>
      </w:r>
      <w:r>
        <w:t xml:space="preserve">service-type filter, subtype filter, "top service this month", daily spend trend chart (MCM has no charting library in this area at all), and Excel export.</w:t>
      </w:r>
    </w:p>
    <w:p>
      <w:pPr>
        <w:spacing w:after="130"/>
      </w:pPr>
      <w:r>
        <w:rPr>
          <w:rFonts w:ascii="Consolas" w:cs="Consolas" w:eastAsia="Consolas" w:hAnsi="Consolas"/>
          <w:i/>
          <w:iCs/>
          <w:color w:val="666666"/>
          <w:sz w:val="16"/>
          <w:szCs w:val="16"/>
        </w:rPr>
        <w:t xml:space="preserve">src/pages/admin-settings/billing/usage/index.tsx (L248-396) · src/services/api (getSmsRate)</w:t>
      </w:r>
    </w:p>
    <w:p>
      <w:pPr>
        <w:pStyle w:val="Heading2"/>
        <w:spacing w:after="75" w:before="190"/>
      </w:pPr>
      <w:r>
        <w:t xml:space="preserve">5.4 Full usage &amp; analytics feature table — what each one actually means</w:t>
      </w:r>
    </w:p>
    <w:p>
      <w:pPr>
        <w:spacing w:after="120" w:line="288"/>
      </w:pPr>
      <w:r>
        <w:t xml:space="preserve">Every usage/analytics capability found in Dialpad's documentation, in plain English, checked against MCM:</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050"/>
        <w:gridCol w:w="4030"/>
        <w:gridCol w:w="1350"/>
        <w:gridCol w:w="1330"/>
      </w:tblGrid>
      <w:tr>
        <w:trPr>
          <w:tblHeader/>
        </w:trPr>
        <w:tc>
          <w:tcPr>
            <w:tcW w:type="dxa" w:w="2050"/>
            <w:tcBorders>
              <w:top w:val="single" w:color="C4D2E0" w:sz="4"/>
              <w:left w:val="single" w:color="C4D2E0" w:sz="4"/>
              <w:bottom w:val="single" w:color="C4D2E0" w:sz="4"/>
              <w:right w:val="single" w:color="C4D2E0" w:sz="4"/>
            </w:tcBorders>
            <w:shd w:fill="17365D" w:color="auto" w:val="clear"/>
            <w:tcMar>
              <w:top w:type="dxa" w:w="50"/>
              <w:left w:type="dxa" w:w="80"/>
              <w:bottom w:type="dxa" w:w="50"/>
              <w:right w:type="dxa" w:w="80"/>
            </w:tcMar>
          </w:tcPr>
          <w:p>
            <w:pPr>
              <w:spacing w:after="0" w:line="226"/>
              <w:jc w:val="left"/>
            </w:pPr>
            <w:r>
              <w:rPr>
                <w:b/>
                <w:bCs/>
                <w:color w:val="FFFFFF"/>
                <w:sz w:val="18"/>
                <w:szCs w:val="18"/>
              </w:rPr>
              <w:t xml:space="preserve">Feature</w:t>
            </w:r>
          </w:p>
        </w:tc>
        <w:tc>
          <w:tcPr>
            <w:tcW w:type="dxa" w:w="4030"/>
            <w:tcBorders>
              <w:top w:val="single" w:color="C4D2E0" w:sz="4"/>
              <w:left w:val="single" w:color="C4D2E0" w:sz="4"/>
              <w:bottom w:val="single" w:color="C4D2E0" w:sz="4"/>
              <w:right w:val="single" w:color="C4D2E0" w:sz="4"/>
            </w:tcBorders>
            <w:shd w:fill="17365D" w:color="auto" w:val="clear"/>
            <w:tcMar>
              <w:top w:type="dxa" w:w="50"/>
              <w:left w:type="dxa" w:w="80"/>
              <w:bottom w:type="dxa" w:w="50"/>
              <w:right w:type="dxa" w:w="80"/>
            </w:tcMar>
          </w:tcPr>
          <w:p>
            <w:pPr>
              <w:spacing w:after="0" w:line="226"/>
              <w:jc w:val="left"/>
            </w:pPr>
            <w:r>
              <w:rPr>
                <w:b/>
                <w:bCs/>
                <w:color w:val="FFFFFF"/>
                <w:sz w:val="18"/>
                <w:szCs w:val="18"/>
              </w:rPr>
              <w:t xml:space="preserve">What it actually means</w:t>
            </w:r>
          </w:p>
        </w:tc>
        <w:tc>
          <w:tcPr>
            <w:tcW w:type="dxa" w:w="1350"/>
            <w:tcBorders>
              <w:top w:val="single" w:color="C4D2E0" w:sz="4"/>
              <w:left w:val="single" w:color="C4D2E0" w:sz="4"/>
              <w:bottom w:val="single" w:color="C4D2E0" w:sz="4"/>
              <w:right w:val="single" w:color="C4D2E0" w:sz="4"/>
            </w:tcBorders>
            <w:shd w:fill="17365D" w:color="auto" w:val="clear"/>
            <w:tcMar>
              <w:top w:type="dxa" w:w="50"/>
              <w:left w:type="dxa" w:w="80"/>
              <w:bottom w:type="dxa" w:w="50"/>
              <w:right w:type="dxa" w:w="80"/>
            </w:tcMar>
          </w:tcPr>
          <w:p>
            <w:pPr>
              <w:spacing w:after="0" w:line="226"/>
              <w:jc w:val="left"/>
            </w:pPr>
            <w:r>
              <w:rPr>
                <w:b/>
                <w:bCs/>
                <w:color w:val="FFFFFF"/>
                <w:sz w:val="18"/>
                <w:szCs w:val="18"/>
              </w:rPr>
              <w:t xml:space="preserve">Dialpad</w:t>
            </w:r>
          </w:p>
        </w:tc>
        <w:tc>
          <w:tcPr>
            <w:tcW w:type="dxa" w:w="1330"/>
            <w:tcBorders>
              <w:top w:val="single" w:color="C4D2E0" w:sz="4"/>
              <w:left w:val="single" w:color="C4D2E0" w:sz="4"/>
              <w:bottom w:val="single" w:color="C4D2E0" w:sz="4"/>
              <w:right w:val="single" w:color="C4D2E0" w:sz="4"/>
            </w:tcBorders>
            <w:shd w:fill="17365D" w:color="auto" w:val="clear"/>
            <w:tcMar>
              <w:top w:type="dxa" w:w="50"/>
              <w:left w:type="dxa" w:w="80"/>
              <w:bottom w:type="dxa" w:w="50"/>
              <w:right w:type="dxa" w:w="80"/>
            </w:tcMar>
          </w:tcPr>
          <w:p>
            <w:pPr>
              <w:spacing w:after="0" w:line="226"/>
              <w:jc w:val="left"/>
            </w:pPr>
            <w:r>
              <w:rPr>
                <w:b/>
                <w:bCs/>
                <w:color w:val="FFFFFF"/>
                <w:sz w:val="18"/>
                <w:szCs w:val="18"/>
              </w:rPr>
              <w:t xml:space="preserve">MCM</w:t>
            </w:r>
          </w:p>
        </w:tc>
      </w:tr>
      <w:tr>
        <w:tc>
          <w:tcPr>
            <w:tcW w:type="dxa" w:w="205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Date-range filter</w:t>
            </w:r>
          </w:p>
        </w:tc>
        <w:tc>
          <w:tcPr>
            <w:tcW w:type="dxa" w:w="403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Look at spending over different windows: this month, last month, 3 months, 6 months.</w:t>
            </w:r>
          </w:p>
        </w:tc>
        <w:tc>
          <w:tcPr>
            <w:tcW w:type="dxa" w:w="1350"/>
            <w:tcBorders>
              <w:top w:val="single" w:color="C4D2E0" w:sz="4"/>
              <w:left w:val="single" w:color="C4D2E0" w:sz="4"/>
              <w:bottom w:val="single" w:color="C4D2E0" w:sz="4"/>
              <w:right w:val="single" w:color="C4D2E0" w:sz="4"/>
            </w:tcBorders>
            <w:shd w:fill="DCEFE1" w:color="auto" w:val="clear"/>
            <w:tcMar>
              <w:top w:type="dxa" w:w="50"/>
              <w:left w:type="dxa" w:w="80"/>
              <w:bottom w:type="dxa" w:w="50"/>
              <w:right w:type="dxa" w:w="80"/>
            </w:tcMar>
          </w:tcPr>
          <w:p>
            <w:pPr>
              <w:spacing w:after="0" w:line="226"/>
              <w:jc w:val="left"/>
            </w:pPr>
            <w:r>
              <w:rPr>
                <w:b/>
                <w:bCs/>
                <w:color w:val="1B7F3B"/>
                <w:sz w:val="16"/>
                <w:szCs w:val="16"/>
              </w:rPr>
              <w:t xml:space="preserve">Yes</w:t>
            </w:r>
          </w:p>
        </w:tc>
        <w:tc>
          <w:tcPr>
            <w:tcW w:type="dxa" w:w="1330"/>
            <w:tcBorders>
              <w:top w:val="single" w:color="C4D2E0" w:sz="4"/>
              <w:left w:val="single" w:color="C4D2E0" w:sz="4"/>
              <w:bottom w:val="single" w:color="C4D2E0" w:sz="4"/>
              <w:right w:val="single" w:color="C4D2E0" w:sz="4"/>
            </w:tcBorders>
            <w:shd w:fill="DCEFE1" w:color="auto" w:val="clear"/>
            <w:tcMar>
              <w:top w:type="dxa" w:w="50"/>
              <w:left w:type="dxa" w:w="80"/>
              <w:bottom w:type="dxa" w:w="50"/>
              <w:right w:type="dxa" w:w="80"/>
            </w:tcMar>
          </w:tcPr>
          <w:p>
            <w:pPr>
              <w:spacing w:after="0" w:line="226"/>
              <w:jc w:val="left"/>
            </w:pPr>
            <w:r>
              <w:rPr>
                <w:b/>
                <w:bCs/>
                <w:color w:val="1B7F3B"/>
                <w:sz w:val="16"/>
                <w:szCs w:val="16"/>
              </w:rPr>
              <w:t xml:space="preserve">Yes</w:t>
            </w:r>
          </w:p>
        </w:tc>
      </w:tr>
      <w:tr>
        <w:tc>
          <w:tcPr>
            <w:tcW w:type="dxa" w:w="205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Service-type filter</w:t>
            </w:r>
          </w:p>
        </w:tc>
        <w:tc>
          <w:tcPr>
            <w:tcW w:type="dxa" w:w="403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Break spend out by which kind of service used it — calls vs texts vs fax vs AI agent, etc.</w:t>
            </w:r>
          </w:p>
        </w:tc>
        <w:tc>
          <w:tcPr>
            <w:tcW w:type="dxa" w:w="1350"/>
            <w:tcBorders>
              <w:top w:val="single" w:color="C4D2E0" w:sz="4"/>
              <w:left w:val="single" w:color="C4D2E0" w:sz="4"/>
              <w:bottom w:val="single" w:color="C4D2E0" w:sz="4"/>
              <w:right w:val="single" w:color="C4D2E0" w:sz="4"/>
            </w:tcBorders>
            <w:shd w:fill="DCEFE1" w:color="auto" w:val="clear"/>
            <w:tcMar>
              <w:top w:type="dxa" w:w="50"/>
              <w:left w:type="dxa" w:w="80"/>
              <w:bottom w:type="dxa" w:w="50"/>
              <w:right w:type="dxa" w:w="80"/>
            </w:tcMar>
          </w:tcPr>
          <w:p>
            <w:pPr>
              <w:spacing w:after="0" w:line="226"/>
              <w:jc w:val="left"/>
            </w:pPr>
            <w:r>
              <w:rPr>
                <w:b/>
                <w:bCs/>
                <w:color w:val="1B7F3B"/>
                <w:sz w:val="16"/>
                <w:szCs w:val="16"/>
              </w:rPr>
              <w:t xml:space="preserve">Yes</w:t>
            </w:r>
          </w:p>
        </w:tc>
        <w:tc>
          <w:tcPr>
            <w:tcW w:type="dxa" w:w="1330"/>
            <w:tcBorders>
              <w:top w:val="single" w:color="C4D2E0" w:sz="4"/>
              <w:left w:val="single" w:color="C4D2E0" w:sz="4"/>
              <w:bottom w:val="single" w:color="C4D2E0" w:sz="4"/>
              <w:right w:val="single" w:color="C4D2E0" w:sz="4"/>
            </w:tcBorders>
            <w:shd w:fill="F6DADE" w:color="auto" w:val="clear"/>
            <w:tcMar>
              <w:top w:type="dxa" w:w="50"/>
              <w:left w:type="dxa" w:w="80"/>
              <w:bottom w:type="dxa" w:w="50"/>
              <w:right w:type="dxa" w:w="80"/>
            </w:tcMar>
          </w:tcPr>
          <w:p>
            <w:pPr>
              <w:spacing w:after="0" w:line="226"/>
              <w:jc w:val="left"/>
            </w:pPr>
            <w:r>
              <w:rPr>
                <w:b/>
                <w:bCs/>
                <w:color w:val="B0202E"/>
                <w:sz w:val="16"/>
                <w:szCs w:val="16"/>
              </w:rPr>
              <w:t xml:space="preserve">No</w:t>
            </w:r>
          </w:p>
        </w:tc>
      </w:tr>
      <w:tr>
        <w:tc>
          <w:tcPr>
            <w:tcW w:type="dxa" w:w="205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Subtype filter</w:t>
            </w:r>
          </w:p>
        </w:tc>
        <w:tc>
          <w:tcPr>
            <w:tcW w:type="dxa" w:w="403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Narrow further within a service — e.g. only international calls, or only toll-free.</w:t>
            </w:r>
          </w:p>
        </w:tc>
        <w:tc>
          <w:tcPr>
            <w:tcW w:type="dxa" w:w="1350"/>
            <w:tcBorders>
              <w:top w:val="single" w:color="C4D2E0" w:sz="4"/>
              <w:left w:val="single" w:color="C4D2E0" w:sz="4"/>
              <w:bottom w:val="single" w:color="C4D2E0" w:sz="4"/>
              <w:right w:val="single" w:color="C4D2E0" w:sz="4"/>
            </w:tcBorders>
            <w:shd w:fill="DCEFE1" w:color="auto" w:val="clear"/>
            <w:tcMar>
              <w:top w:type="dxa" w:w="50"/>
              <w:left w:type="dxa" w:w="80"/>
              <w:bottom w:type="dxa" w:w="50"/>
              <w:right w:type="dxa" w:w="80"/>
            </w:tcMar>
          </w:tcPr>
          <w:p>
            <w:pPr>
              <w:spacing w:after="0" w:line="226"/>
              <w:jc w:val="left"/>
            </w:pPr>
            <w:r>
              <w:rPr>
                <w:b/>
                <w:bCs/>
                <w:color w:val="1B7F3B"/>
                <w:sz w:val="16"/>
                <w:szCs w:val="16"/>
              </w:rPr>
              <w:t xml:space="preserve">Yes</w:t>
            </w:r>
          </w:p>
        </w:tc>
        <w:tc>
          <w:tcPr>
            <w:tcW w:type="dxa" w:w="1330"/>
            <w:tcBorders>
              <w:top w:val="single" w:color="C4D2E0" w:sz="4"/>
              <w:left w:val="single" w:color="C4D2E0" w:sz="4"/>
              <w:bottom w:val="single" w:color="C4D2E0" w:sz="4"/>
              <w:right w:val="single" w:color="C4D2E0" w:sz="4"/>
            </w:tcBorders>
            <w:shd w:fill="F6DADE" w:color="auto" w:val="clear"/>
            <w:tcMar>
              <w:top w:type="dxa" w:w="50"/>
              <w:left w:type="dxa" w:w="80"/>
              <w:bottom w:type="dxa" w:w="50"/>
              <w:right w:type="dxa" w:w="80"/>
            </w:tcMar>
          </w:tcPr>
          <w:p>
            <w:pPr>
              <w:spacing w:after="0" w:line="226"/>
              <w:jc w:val="left"/>
            </w:pPr>
            <w:r>
              <w:rPr>
                <w:b/>
                <w:bCs/>
                <w:color w:val="B0202E"/>
                <w:sz w:val="16"/>
                <w:szCs w:val="16"/>
              </w:rPr>
              <w:t xml:space="preserve">No</w:t>
            </w:r>
          </w:p>
        </w:tc>
      </w:tr>
      <w:tr>
        <w:tc>
          <w:tcPr>
            <w:tcW w:type="dxa" w:w="205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"Top service this month"</w:t>
            </w:r>
          </w:p>
        </w:tc>
        <w:tc>
          <w:tcPr>
            <w:tcW w:type="dxa" w:w="403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A one-line highlight telling you which service cost the most this month, so you spot the driver without digging through rows.</w:t>
            </w:r>
          </w:p>
        </w:tc>
        <w:tc>
          <w:tcPr>
            <w:tcW w:type="dxa" w:w="1350"/>
            <w:tcBorders>
              <w:top w:val="single" w:color="C4D2E0" w:sz="4"/>
              <w:left w:val="single" w:color="C4D2E0" w:sz="4"/>
              <w:bottom w:val="single" w:color="C4D2E0" w:sz="4"/>
              <w:right w:val="single" w:color="C4D2E0" w:sz="4"/>
            </w:tcBorders>
            <w:shd w:fill="DCEFE1" w:color="auto" w:val="clear"/>
            <w:tcMar>
              <w:top w:type="dxa" w:w="50"/>
              <w:left w:type="dxa" w:w="80"/>
              <w:bottom w:type="dxa" w:w="50"/>
              <w:right w:type="dxa" w:w="80"/>
            </w:tcMar>
          </w:tcPr>
          <w:p>
            <w:pPr>
              <w:spacing w:after="0" w:line="226"/>
              <w:jc w:val="left"/>
            </w:pPr>
            <w:r>
              <w:rPr>
                <w:b/>
                <w:bCs/>
                <w:color w:val="1B7F3B"/>
                <w:sz w:val="16"/>
                <w:szCs w:val="16"/>
              </w:rPr>
              <w:t xml:space="preserve">Yes</w:t>
            </w:r>
          </w:p>
        </w:tc>
        <w:tc>
          <w:tcPr>
            <w:tcW w:type="dxa" w:w="1330"/>
            <w:tcBorders>
              <w:top w:val="single" w:color="C4D2E0" w:sz="4"/>
              <w:left w:val="single" w:color="C4D2E0" w:sz="4"/>
              <w:bottom w:val="single" w:color="C4D2E0" w:sz="4"/>
              <w:right w:val="single" w:color="C4D2E0" w:sz="4"/>
            </w:tcBorders>
            <w:shd w:fill="F6DADE" w:color="auto" w:val="clear"/>
            <w:tcMar>
              <w:top w:type="dxa" w:w="50"/>
              <w:left w:type="dxa" w:w="80"/>
              <w:bottom w:type="dxa" w:w="50"/>
              <w:right w:type="dxa" w:w="80"/>
            </w:tcMar>
          </w:tcPr>
          <w:p>
            <w:pPr>
              <w:spacing w:after="0" w:line="226"/>
              <w:jc w:val="left"/>
            </w:pPr>
            <w:r>
              <w:rPr>
                <w:b/>
                <w:bCs/>
                <w:color w:val="B0202E"/>
                <w:sz w:val="16"/>
                <w:szCs w:val="16"/>
              </w:rPr>
              <w:t xml:space="preserve">No</w:t>
            </w:r>
          </w:p>
        </w:tc>
      </w:tr>
      <w:tr>
        <w:tc>
          <w:tcPr>
            <w:tcW w:type="dxa" w:w="205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Daily spend trend chart</w:t>
            </w:r>
          </w:p>
        </w:tc>
        <w:tc>
          <w:tcPr>
            <w:tcW w:type="dxa" w:w="403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A graph of spend by day, so a spike (e.g. a fraud call or a busy sales day) is visible at a glance instead of buried in a table.</w:t>
            </w:r>
          </w:p>
        </w:tc>
        <w:tc>
          <w:tcPr>
            <w:tcW w:type="dxa" w:w="1350"/>
            <w:tcBorders>
              <w:top w:val="single" w:color="C4D2E0" w:sz="4"/>
              <w:left w:val="single" w:color="C4D2E0" w:sz="4"/>
              <w:bottom w:val="single" w:color="C4D2E0" w:sz="4"/>
              <w:right w:val="single" w:color="C4D2E0" w:sz="4"/>
            </w:tcBorders>
            <w:shd w:fill="DCEFE1" w:color="auto" w:val="clear"/>
            <w:tcMar>
              <w:top w:type="dxa" w:w="50"/>
              <w:left w:type="dxa" w:w="80"/>
              <w:bottom w:type="dxa" w:w="50"/>
              <w:right w:type="dxa" w:w="80"/>
            </w:tcMar>
          </w:tcPr>
          <w:p>
            <w:pPr>
              <w:spacing w:after="0" w:line="226"/>
              <w:jc w:val="left"/>
            </w:pPr>
            <w:r>
              <w:rPr>
                <w:b/>
                <w:bCs/>
                <w:color w:val="1B7F3B"/>
                <w:sz w:val="16"/>
                <w:szCs w:val="16"/>
              </w:rPr>
              <w:t xml:space="preserve">Yes</w:t>
            </w:r>
          </w:p>
        </w:tc>
        <w:tc>
          <w:tcPr>
            <w:tcW w:type="dxa" w:w="1330"/>
            <w:tcBorders>
              <w:top w:val="single" w:color="C4D2E0" w:sz="4"/>
              <w:left w:val="single" w:color="C4D2E0" w:sz="4"/>
              <w:bottom w:val="single" w:color="C4D2E0" w:sz="4"/>
              <w:right w:val="single" w:color="C4D2E0" w:sz="4"/>
            </w:tcBorders>
            <w:shd w:fill="F6DADE" w:color="auto" w:val="clear"/>
            <w:tcMar>
              <w:top w:type="dxa" w:w="50"/>
              <w:left w:type="dxa" w:w="80"/>
              <w:bottom w:type="dxa" w:w="50"/>
              <w:right w:type="dxa" w:w="80"/>
            </w:tcMar>
          </w:tcPr>
          <w:p>
            <w:pPr>
              <w:spacing w:after="0" w:line="226"/>
              <w:jc w:val="left"/>
            </w:pPr>
            <w:r>
              <w:rPr>
                <w:b/>
                <w:bCs/>
                <w:color w:val="B0202E"/>
                <w:sz w:val="16"/>
                <w:szCs w:val="16"/>
              </w:rPr>
              <w:t xml:space="preserve">No</w:t>
            </w:r>
          </w:p>
        </w:tc>
      </w:tr>
      <w:tr>
        <w:tc>
          <w:tcPr>
            <w:tcW w:type="dxa" w:w="205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CSV export</w:t>
            </w:r>
          </w:p>
        </w:tc>
        <w:tc>
          <w:tcPr>
            <w:tcW w:type="dxa" w:w="403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Download the on-screen data as a spreadsheet file.</w:t>
            </w:r>
          </w:p>
        </w:tc>
        <w:tc>
          <w:tcPr>
            <w:tcW w:type="dxa" w:w="1350"/>
            <w:tcBorders>
              <w:top w:val="single" w:color="C4D2E0" w:sz="4"/>
              <w:left w:val="single" w:color="C4D2E0" w:sz="4"/>
              <w:bottom w:val="single" w:color="C4D2E0" w:sz="4"/>
              <w:right w:val="single" w:color="C4D2E0" w:sz="4"/>
            </w:tcBorders>
            <w:shd w:fill="DCEFE1" w:color="auto" w:val="clear"/>
            <w:tcMar>
              <w:top w:type="dxa" w:w="50"/>
              <w:left w:type="dxa" w:w="80"/>
              <w:bottom w:type="dxa" w:w="50"/>
              <w:right w:type="dxa" w:w="80"/>
            </w:tcMar>
          </w:tcPr>
          <w:p>
            <w:pPr>
              <w:spacing w:after="0" w:line="226"/>
              <w:jc w:val="left"/>
            </w:pPr>
            <w:r>
              <w:rPr>
                <w:b/>
                <w:bCs/>
                <w:color w:val="1B7F3B"/>
                <w:sz w:val="16"/>
                <w:szCs w:val="16"/>
              </w:rPr>
              <w:t xml:space="preserve">Yes</w:t>
            </w:r>
          </w:p>
        </w:tc>
        <w:tc>
          <w:tcPr>
            <w:tcW w:type="dxa" w:w="1330"/>
            <w:tcBorders>
              <w:top w:val="single" w:color="C4D2E0" w:sz="4"/>
              <w:left w:val="single" w:color="C4D2E0" w:sz="4"/>
              <w:bottom w:val="single" w:color="C4D2E0" w:sz="4"/>
              <w:right w:val="single" w:color="C4D2E0" w:sz="4"/>
            </w:tcBorders>
            <w:shd w:fill="DCEFE1" w:color="auto" w:val="clear"/>
            <w:tcMar>
              <w:top w:type="dxa" w:w="50"/>
              <w:left w:type="dxa" w:w="80"/>
              <w:bottom w:type="dxa" w:w="50"/>
              <w:right w:type="dxa" w:w="80"/>
            </w:tcMar>
          </w:tcPr>
          <w:p>
            <w:pPr>
              <w:spacing w:after="0" w:line="226"/>
              <w:jc w:val="left"/>
            </w:pPr>
            <w:r>
              <w:rPr>
                <w:b/>
                <w:bCs/>
                <w:color w:val="1B7F3B"/>
                <w:sz w:val="16"/>
                <w:szCs w:val="16"/>
              </w:rPr>
              <w:t xml:space="preserve">Yes</w:t>
            </w:r>
          </w:p>
        </w:tc>
      </w:tr>
      <w:tr>
        <w:tc>
          <w:tcPr>
            <w:tcW w:type="dxa" w:w="205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Excel export</w:t>
            </w:r>
          </w:p>
        </w:tc>
        <w:tc>
          <w:tcPr>
            <w:tcW w:type="dxa" w:w="403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Same, but as a native .xlsx file rather than plain CSV.</w:t>
            </w:r>
          </w:p>
        </w:tc>
        <w:tc>
          <w:tcPr>
            <w:tcW w:type="dxa" w:w="1350"/>
            <w:tcBorders>
              <w:top w:val="single" w:color="C4D2E0" w:sz="4"/>
              <w:left w:val="single" w:color="C4D2E0" w:sz="4"/>
              <w:bottom w:val="single" w:color="C4D2E0" w:sz="4"/>
              <w:right w:val="single" w:color="C4D2E0" w:sz="4"/>
            </w:tcBorders>
            <w:shd w:fill="DCEFE1" w:color="auto" w:val="clear"/>
            <w:tcMar>
              <w:top w:type="dxa" w:w="50"/>
              <w:left w:type="dxa" w:w="80"/>
              <w:bottom w:type="dxa" w:w="50"/>
              <w:right w:type="dxa" w:w="80"/>
            </w:tcMar>
          </w:tcPr>
          <w:p>
            <w:pPr>
              <w:spacing w:after="0" w:line="226"/>
              <w:jc w:val="left"/>
            </w:pPr>
            <w:r>
              <w:rPr>
                <w:b/>
                <w:bCs/>
                <w:color w:val="1B7F3B"/>
                <w:sz w:val="16"/>
                <w:szCs w:val="16"/>
              </w:rPr>
              <w:t xml:space="preserve">Yes</w:t>
            </w:r>
          </w:p>
        </w:tc>
        <w:tc>
          <w:tcPr>
            <w:tcW w:type="dxa" w:w="1330"/>
            <w:tcBorders>
              <w:top w:val="single" w:color="C4D2E0" w:sz="4"/>
              <w:left w:val="single" w:color="C4D2E0" w:sz="4"/>
              <w:bottom w:val="single" w:color="C4D2E0" w:sz="4"/>
              <w:right w:val="single" w:color="C4D2E0" w:sz="4"/>
            </w:tcBorders>
            <w:shd w:fill="F6DADE" w:color="auto" w:val="clear"/>
            <w:tcMar>
              <w:top w:type="dxa" w:w="50"/>
              <w:left w:type="dxa" w:w="80"/>
              <w:bottom w:type="dxa" w:w="50"/>
              <w:right w:type="dxa" w:w="80"/>
            </w:tcMar>
          </w:tcPr>
          <w:p>
            <w:pPr>
              <w:spacing w:after="0" w:line="226"/>
              <w:jc w:val="left"/>
            </w:pPr>
            <w:r>
              <w:rPr>
                <w:b/>
                <w:bCs/>
                <w:color w:val="B0202E"/>
                <w:sz w:val="16"/>
                <w:szCs w:val="16"/>
              </w:rPr>
              <w:t xml:space="preserve">No</w:t>
            </w:r>
          </w:p>
        </w:tc>
      </w:tr>
      <w:tr>
        <w:tc>
          <w:tcPr>
            <w:tcW w:type="dxa" w:w="205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Export keeps your column choices</w:t>
            </w:r>
          </w:p>
        </w:tc>
        <w:tc>
          <w:tcPr>
            <w:tcW w:type="dxa" w:w="403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Whatever columns and order you set up on screen carry over into the downloaded file — you don't get a fixed generic export.</w:t>
            </w:r>
          </w:p>
        </w:tc>
        <w:tc>
          <w:tcPr>
            <w:tcW w:type="dxa" w:w="1350"/>
            <w:tcBorders>
              <w:top w:val="single" w:color="C4D2E0" w:sz="4"/>
              <w:left w:val="single" w:color="C4D2E0" w:sz="4"/>
              <w:bottom w:val="single" w:color="C4D2E0" w:sz="4"/>
              <w:right w:val="single" w:color="C4D2E0" w:sz="4"/>
            </w:tcBorders>
            <w:shd w:fill="DCEFE1" w:color="auto" w:val="clear"/>
            <w:tcMar>
              <w:top w:type="dxa" w:w="50"/>
              <w:left w:type="dxa" w:w="80"/>
              <w:bottom w:type="dxa" w:w="50"/>
              <w:right w:type="dxa" w:w="80"/>
            </w:tcMar>
          </w:tcPr>
          <w:p>
            <w:pPr>
              <w:spacing w:after="0" w:line="226"/>
              <w:jc w:val="left"/>
            </w:pPr>
            <w:r>
              <w:rPr>
                <w:b/>
                <w:bCs/>
                <w:color w:val="1B7F3B"/>
                <w:sz w:val="16"/>
                <w:szCs w:val="16"/>
              </w:rPr>
              <w:t xml:space="preserve">Yes</w:t>
            </w:r>
          </w:p>
        </w:tc>
        <w:tc>
          <w:tcPr>
            <w:tcW w:type="dxa" w:w="1330"/>
            <w:tcBorders>
              <w:top w:val="single" w:color="C4D2E0" w:sz="4"/>
              <w:left w:val="single" w:color="C4D2E0" w:sz="4"/>
              <w:bottom w:val="single" w:color="C4D2E0" w:sz="4"/>
              <w:right w:val="single" w:color="C4D2E0" w:sz="4"/>
            </w:tcBorders>
            <w:shd w:fill="F6DADE" w:color="auto" w:val="clear"/>
            <w:tcMar>
              <w:top w:type="dxa" w:w="50"/>
              <w:left w:type="dxa" w:w="80"/>
              <w:bottom w:type="dxa" w:w="50"/>
              <w:right w:type="dxa" w:w="80"/>
            </w:tcMar>
          </w:tcPr>
          <w:p>
            <w:pPr>
              <w:spacing w:after="0" w:line="226"/>
              <w:jc w:val="left"/>
            </w:pPr>
            <w:r>
              <w:rPr>
                <w:b/>
                <w:bCs/>
                <w:color w:val="B0202E"/>
                <w:sz w:val="16"/>
                <w:szCs w:val="16"/>
              </w:rPr>
              <w:t xml:space="preserve">No</w:t>
            </w:r>
          </w:p>
        </w:tc>
      </w:tr>
      <w:tr>
        <w:tc>
          <w:tcPr>
            <w:tcW w:type="dxa" w:w="205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Granular per-call/message record</w:t>
            </w:r>
          </w:p>
        </w:tc>
        <w:tc>
          <w:tcPr>
            <w:tcW w:type="dxa" w:w="403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Every single call or text is its own row — who made it, when, which number, how long, which "pot" of money paid for it, what it cost, and the rate used. Not just a daily total.</w:t>
            </w:r>
          </w:p>
        </w:tc>
        <w:tc>
          <w:tcPr>
            <w:tcW w:type="dxa" w:w="1350"/>
            <w:tcBorders>
              <w:top w:val="single" w:color="C4D2E0" w:sz="4"/>
              <w:left w:val="single" w:color="C4D2E0" w:sz="4"/>
              <w:bottom w:val="single" w:color="C4D2E0" w:sz="4"/>
              <w:right w:val="single" w:color="C4D2E0" w:sz="4"/>
            </w:tcBorders>
            <w:shd w:fill="DCEFE1" w:color="auto" w:val="clear"/>
            <w:tcMar>
              <w:top w:type="dxa" w:w="50"/>
              <w:left w:type="dxa" w:w="80"/>
              <w:bottom w:type="dxa" w:w="50"/>
              <w:right w:type="dxa" w:w="80"/>
            </w:tcMar>
          </w:tcPr>
          <w:p>
            <w:pPr>
              <w:spacing w:after="0" w:line="226"/>
              <w:jc w:val="left"/>
            </w:pPr>
            <w:r>
              <w:rPr>
                <w:b/>
                <w:bCs/>
                <w:color w:val="1B7F3B"/>
                <w:sz w:val="16"/>
                <w:szCs w:val="16"/>
              </w:rPr>
              <w:t xml:space="preserve">Yes</w:t>
            </w:r>
          </w:p>
        </w:tc>
        <w:tc>
          <w:tcPr>
            <w:tcW w:type="dxa" w:w="1330"/>
            <w:tcBorders>
              <w:top w:val="single" w:color="C4D2E0" w:sz="4"/>
              <w:left w:val="single" w:color="C4D2E0" w:sz="4"/>
              <w:bottom w:val="single" w:color="C4D2E0" w:sz="4"/>
              <w:right w:val="single" w:color="C4D2E0" w:sz="4"/>
            </w:tcBorders>
            <w:shd w:fill="FBEAD2" w:color="auto" w:val="clear"/>
            <w:tcMar>
              <w:top w:type="dxa" w:w="50"/>
              <w:left w:type="dxa" w:w="80"/>
              <w:bottom w:type="dxa" w:w="50"/>
              <w:right w:type="dxa" w:w="80"/>
            </w:tcMar>
          </w:tcPr>
          <w:p>
            <w:pPr>
              <w:spacing w:after="0" w:line="226"/>
              <w:jc w:val="left"/>
            </w:pPr>
            <w:r>
              <w:rPr>
                <w:b/>
                <w:bCs/>
                <w:color w:val="B45309"/>
                <w:sz w:val="16"/>
                <w:szCs w:val="16"/>
              </w:rPr>
              <w:t xml:space="preserve">Partial — MCM's export is aggregated totals (by group/type), not one row per call.</w:t>
            </w:r>
          </w:p>
        </w:tc>
      </w:tr>
      <w:tr>
        <w:tc>
          <w:tcPr>
            <w:tcW w:type="dxa" w:w="205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Destination-based call rates</w:t>
            </w:r>
          </w:p>
        </w:tc>
        <w:tc>
          <w:tcPr>
            <w:tcW w:type="dxa" w:w="403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A call costs a different amount depending on where it's going — domestic, international, or toll-free each have their own per-minute rate.</w:t>
            </w:r>
          </w:p>
        </w:tc>
        <w:tc>
          <w:tcPr>
            <w:tcW w:type="dxa" w:w="1350"/>
            <w:tcBorders>
              <w:top w:val="single" w:color="C4D2E0" w:sz="4"/>
              <w:left w:val="single" w:color="C4D2E0" w:sz="4"/>
              <w:bottom w:val="single" w:color="C4D2E0" w:sz="4"/>
              <w:right w:val="single" w:color="C4D2E0" w:sz="4"/>
            </w:tcBorders>
            <w:shd w:fill="DCEFE1" w:color="auto" w:val="clear"/>
            <w:tcMar>
              <w:top w:type="dxa" w:w="50"/>
              <w:left w:type="dxa" w:w="80"/>
              <w:bottom w:type="dxa" w:w="50"/>
              <w:right w:type="dxa" w:w="80"/>
            </w:tcMar>
          </w:tcPr>
          <w:p>
            <w:pPr>
              <w:spacing w:after="0" w:line="226"/>
              <w:jc w:val="left"/>
            </w:pPr>
            <w:r>
              <w:rPr>
                <w:b/>
                <w:bCs/>
                <w:color w:val="1B7F3B"/>
                <w:sz w:val="16"/>
                <w:szCs w:val="16"/>
              </w:rPr>
              <w:t xml:space="preserve">Yes</w:t>
            </w:r>
          </w:p>
        </w:tc>
        <w:tc>
          <w:tcPr>
            <w:tcW w:type="dxa" w:w="1330"/>
            <w:tcBorders>
              <w:top w:val="single" w:color="C4D2E0" w:sz="4"/>
              <w:left w:val="single" w:color="C4D2E0" w:sz="4"/>
              <w:bottom w:val="single" w:color="C4D2E0" w:sz="4"/>
              <w:right w:val="single" w:color="C4D2E0" w:sz="4"/>
            </w:tcBorders>
            <w:shd w:fill="FBEAD2" w:color="auto" w:val="clear"/>
            <w:tcMar>
              <w:top w:type="dxa" w:w="50"/>
              <w:left w:type="dxa" w:w="80"/>
              <w:bottom w:type="dxa" w:w="50"/>
              <w:right w:type="dxa" w:w="80"/>
            </w:tcMar>
          </w:tcPr>
          <w:p>
            <w:pPr>
              <w:spacing w:after="0" w:line="226"/>
              <w:jc w:val="left"/>
            </w:pPr>
            <w:r>
              <w:rPr>
                <w:b/>
                <w:bCs/>
                <w:color w:val="B45309"/>
                <w:sz w:val="16"/>
                <w:szCs w:val="16"/>
              </w:rPr>
              <w:t xml:space="preserve">Partial — domestic rate only; the code itself notes toll-free isn't reported back yet.</w:t>
            </w:r>
          </w:p>
        </w:tc>
      </w:tr>
      <w:tr>
        <w:tc>
          <w:tcPr>
            <w:tcW w:type="dxa" w:w="205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Per-segment SMS billing</w:t>
            </w:r>
          </w:p>
        </w:tc>
        <w:tc>
          <w:tcPr>
            <w:tcW w:type="dxa" w:w="403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A long text message gets split into "segments" (160 characters each, or 70 for emoji/non-Latin text) and each segment is billed — the same way carriers actually charge for SMS.</w:t>
            </w:r>
          </w:p>
        </w:tc>
        <w:tc>
          <w:tcPr>
            <w:tcW w:type="dxa" w:w="1350"/>
            <w:tcBorders>
              <w:top w:val="single" w:color="C4D2E0" w:sz="4"/>
              <w:left w:val="single" w:color="C4D2E0" w:sz="4"/>
              <w:bottom w:val="single" w:color="C4D2E0" w:sz="4"/>
              <w:right w:val="single" w:color="C4D2E0" w:sz="4"/>
            </w:tcBorders>
            <w:shd w:fill="DCEFE1" w:color="auto" w:val="clear"/>
            <w:tcMar>
              <w:top w:type="dxa" w:w="50"/>
              <w:left w:type="dxa" w:w="80"/>
              <w:bottom w:type="dxa" w:w="50"/>
              <w:right w:type="dxa" w:w="80"/>
            </w:tcMar>
          </w:tcPr>
          <w:p>
            <w:pPr>
              <w:spacing w:after="0" w:line="226"/>
              <w:jc w:val="left"/>
            </w:pPr>
            <w:r>
              <w:rPr>
                <w:b/>
                <w:bCs/>
                <w:color w:val="1B7F3B"/>
                <w:sz w:val="16"/>
                <w:szCs w:val="16"/>
              </w:rPr>
              <w:t xml:space="preserve">Yes</w:t>
            </w:r>
          </w:p>
        </w:tc>
        <w:tc>
          <w:tcPr>
            <w:tcW w:type="dxa" w:w="1330"/>
            <w:tcBorders>
              <w:top w:val="single" w:color="C4D2E0" w:sz="4"/>
              <w:left w:val="single" w:color="C4D2E0" w:sz="4"/>
              <w:bottom w:val="single" w:color="C4D2E0" w:sz="4"/>
              <w:right w:val="single" w:color="C4D2E0" w:sz="4"/>
            </w:tcBorders>
            <w:shd w:fill="FBEAD2" w:color="auto" w:val="clear"/>
            <w:tcMar>
              <w:top w:type="dxa" w:w="50"/>
              <w:left w:type="dxa" w:w="80"/>
              <w:bottom w:type="dxa" w:w="50"/>
              <w:right w:type="dxa" w:w="80"/>
            </w:tcMar>
          </w:tcPr>
          <w:p>
            <w:pPr>
              <w:spacing w:after="0" w:line="226"/>
              <w:jc w:val="left"/>
            </w:pPr>
            <w:r>
              <w:rPr>
                <w:b/>
                <w:bCs/>
                <w:color w:val="B45309"/>
                <w:sz w:val="16"/>
                <w:szCs w:val="16"/>
              </w:rPr>
              <w:t xml:space="preserve">Partial — a rate lookup exists, but the segment-counting math itself was not found.</w:t>
            </w:r>
          </w:p>
        </w:tc>
      </w:tr>
      <w:tr>
        <w:tc>
          <w:tcPr>
            <w:tcW w:type="dxa" w:w="205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Fax-per-page billing</w:t>
            </w:r>
          </w:p>
        </w:tc>
        <w:tc>
          <w:tcPr>
            <w:tcW w:type="dxa" w:w="403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Sending a fax is charged per page, not as a flat fee.</w:t>
            </w:r>
          </w:p>
        </w:tc>
        <w:tc>
          <w:tcPr>
            <w:tcW w:type="dxa" w:w="1350"/>
            <w:tcBorders>
              <w:top w:val="single" w:color="C4D2E0" w:sz="4"/>
              <w:left w:val="single" w:color="C4D2E0" w:sz="4"/>
              <w:bottom w:val="single" w:color="C4D2E0" w:sz="4"/>
              <w:right w:val="single" w:color="C4D2E0" w:sz="4"/>
            </w:tcBorders>
            <w:shd w:fill="DCEFE1" w:color="auto" w:val="clear"/>
            <w:tcMar>
              <w:top w:type="dxa" w:w="50"/>
              <w:left w:type="dxa" w:w="80"/>
              <w:bottom w:type="dxa" w:w="50"/>
              <w:right w:type="dxa" w:w="80"/>
            </w:tcMar>
          </w:tcPr>
          <w:p>
            <w:pPr>
              <w:spacing w:after="0" w:line="226"/>
              <w:jc w:val="left"/>
            </w:pPr>
            <w:r>
              <w:rPr>
                <w:b/>
                <w:bCs/>
                <w:color w:val="1B7F3B"/>
                <w:sz w:val="16"/>
                <w:szCs w:val="16"/>
              </w:rPr>
              <w:t xml:space="preserve">Yes</w:t>
            </w:r>
          </w:p>
        </w:tc>
        <w:tc>
          <w:tcPr>
            <w:tcW w:type="dxa" w:w="1330"/>
            <w:tcBorders>
              <w:top w:val="single" w:color="C4D2E0" w:sz="4"/>
              <w:left w:val="single" w:color="C4D2E0" w:sz="4"/>
              <w:bottom w:val="single" w:color="C4D2E0" w:sz="4"/>
              <w:right w:val="single" w:color="C4D2E0" w:sz="4"/>
            </w:tcBorders>
            <w:shd w:fill="F6DADE" w:color="auto" w:val="clear"/>
            <w:tcMar>
              <w:top w:type="dxa" w:w="50"/>
              <w:left w:type="dxa" w:w="80"/>
              <w:bottom w:type="dxa" w:w="50"/>
              <w:right w:type="dxa" w:w="80"/>
            </w:tcMar>
          </w:tcPr>
          <w:p>
            <w:pPr>
              <w:spacing w:after="0" w:line="226"/>
              <w:jc w:val="left"/>
            </w:pPr>
            <w:r>
              <w:rPr>
                <w:b/>
                <w:bCs/>
                <w:color w:val="B0202E"/>
                <w:sz w:val="16"/>
                <w:szCs w:val="16"/>
              </w:rPr>
              <w:t xml:space="preserve">No</w:t>
            </w:r>
          </w:p>
        </w:tc>
      </w:tr>
      <w:tr>
        <w:tc>
          <w:tcPr>
            <w:tcW w:type="dxa" w:w="205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AI agent usage metering</w:t>
            </w:r>
          </w:p>
        </w:tc>
        <w:tc>
          <w:tcPr>
            <w:tcW w:type="dxa" w:w="403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An AI voice/chat agent's usage is tracked and billed by how long it talks or how many sessions/conversations it handles.</w:t>
            </w:r>
          </w:p>
        </w:tc>
        <w:tc>
          <w:tcPr>
            <w:tcW w:type="dxa" w:w="1350"/>
            <w:tcBorders>
              <w:top w:val="single" w:color="C4D2E0" w:sz="4"/>
              <w:left w:val="single" w:color="C4D2E0" w:sz="4"/>
              <w:bottom w:val="single" w:color="C4D2E0" w:sz="4"/>
              <w:right w:val="single" w:color="C4D2E0" w:sz="4"/>
            </w:tcBorders>
            <w:shd w:fill="DCEFE1" w:color="auto" w:val="clear"/>
            <w:tcMar>
              <w:top w:type="dxa" w:w="50"/>
              <w:left w:type="dxa" w:w="80"/>
              <w:bottom w:type="dxa" w:w="50"/>
              <w:right w:type="dxa" w:w="80"/>
            </w:tcMar>
          </w:tcPr>
          <w:p>
            <w:pPr>
              <w:spacing w:after="0" w:line="226"/>
              <w:jc w:val="left"/>
            </w:pPr>
            <w:r>
              <w:rPr>
                <w:b/>
                <w:bCs/>
                <w:color w:val="1B7F3B"/>
                <w:sz w:val="16"/>
                <w:szCs w:val="16"/>
              </w:rPr>
              <w:t xml:space="preserve">Yes</w:t>
            </w:r>
          </w:p>
        </w:tc>
        <w:tc>
          <w:tcPr>
            <w:tcW w:type="dxa" w:w="1330"/>
            <w:tcBorders>
              <w:top w:val="single" w:color="C4D2E0" w:sz="4"/>
              <w:left w:val="single" w:color="C4D2E0" w:sz="4"/>
              <w:bottom w:val="single" w:color="C4D2E0" w:sz="4"/>
              <w:right w:val="single" w:color="C4D2E0" w:sz="4"/>
            </w:tcBorders>
            <w:shd w:fill="F6DADE" w:color="auto" w:val="clear"/>
            <w:tcMar>
              <w:top w:type="dxa" w:w="50"/>
              <w:left w:type="dxa" w:w="80"/>
              <w:bottom w:type="dxa" w:w="50"/>
              <w:right w:type="dxa" w:w="80"/>
            </w:tcMar>
          </w:tcPr>
          <w:p>
            <w:pPr>
              <w:spacing w:after="0" w:line="226"/>
              <w:jc w:val="left"/>
            </w:pPr>
            <w:r>
              <w:rPr>
                <w:b/>
                <w:bCs/>
                <w:color w:val="B0202E"/>
                <w:sz w:val="16"/>
                <w:szCs w:val="16"/>
              </w:rPr>
              <w:t xml:space="preserve">Not found in the usage screen — MCM's billing shows an "AI voice minutes" allowance, but nothing meters actual usage against it (see the earlier AI billing audit).</w:t>
            </w:r>
          </w:p>
        </w:tc>
      </w:tr>
      <w:tr>
        <w:tc>
          <w:tcPr>
            <w:tcW w:type="dxa" w:w="205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Tiered spending order</w:t>
            </w:r>
          </w:p>
        </w:tc>
        <w:tc>
          <w:tcPr>
            <w:tcW w:type="dxa" w:w="403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When you use a service, the system decides which "pot" pays first — your plan's free allowance, then a matching pre-paid wallet, then a general overflow credit pool — so you always know which bucket is draining.</w:t>
            </w:r>
          </w:p>
        </w:tc>
        <w:tc>
          <w:tcPr>
            <w:tcW w:type="dxa" w:w="1350"/>
            <w:tcBorders>
              <w:top w:val="single" w:color="C4D2E0" w:sz="4"/>
              <w:left w:val="single" w:color="C4D2E0" w:sz="4"/>
              <w:bottom w:val="single" w:color="C4D2E0" w:sz="4"/>
              <w:right w:val="single" w:color="C4D2E0" w:sz="4"/>
            </w:tcBorders>
            <w:shd w:fill="DCEFE1" w:color="auto" w:val="clear"/>
            <w:tcMar>
              <w:top w:type="dxa" w:w="50"/>
              <w:left w:type="dxa" w:w="80"/>
              <w:bottom w:type="dxa" w:w="50"/>
              <w:right w:type="dxa" w:w="80"/>
            </w:tcMar>
          </w:tcPr>
          <w:p>
            <w:pPr>
              <w:spacing w:after="0" w:line="226"/>
              <w:jc w:val="left"/>
            </w:pPr>
            <w:r>
              <w:rPr>
                <w:b/>
                <w:bCs/>
                <w:color w:val="1B7F3B"/>
                <w:sz w:val="16"/>
                <w:szCs w:val="16"/>
              </w:rPr>
              <w:t xml:space="preserve">Yes</w:t>
            </w:r>
          </w:p>
        </w:tc>
        <w:tc>
          <w:tcPr>
            <w:tcW w:type="dxa" w:w="1330"/>
            <w:tcBorders>
              <w:top w:val="single" w:color="C4D2E0" w:sz="4"/>
              <w:left w:val="single" w:color="C4D2E0" w:sz="4"/>
              <w:bottom w:val="single" w:color="C4D2E0" w:sz="4"/>
              <w:right w:val="single" w:color="C4D2E0" w:sz="4"/>
            </w:tcBorders>
            <w:shd w:fill="F6DADE" w:color="auto" w:val="clear"/>
            <w:tcMar>
              <w:top w:type="dxa" w:w="50"/>
              <w:left w:type="dxa" w:w="80"/>
              <w:bottom w:type="dxa" w:w="50"/>
              <w:right w:type="dxa" w:w="80"/>
            </w:tcMar>
          </w:tcPr>
          <w:p>
            <w:pPr>
              <w:spacing w:after="0" w:line="226"/>
              <w:jc w:val="left"/>
            </w:pPr>
            <w:r>
              <w:rPr>
                <w:b/>
                <w:bCs/>
                <w:color w:val="B0202E"/>
                <w:sz w:val="16"/>
                <w:szCs w:val="16"/>
              </w:rPr>
              <w:t xml:space="preserve">No — MCM has one flat wallet balance; there is no tiered order because there is only one pot.</w:t>
            </w:r>
          </w:p>
        </w:tc>
      </w:tr>
      <w:tr>
        <w:tc>
          <w:tcPr>
            <w:tcW w:type="dxa" w:w="205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Unusual-spending alert</w:t>
            </w:r>
          </w:p>
        </w:tc>
        <w:tc>
          <w:tcPr>
            <w:tcW w:type="dxa" w:w="403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The system watches for a sudden jump in spending and tells you what caused it, so you catch a problem (fraud, a misconfigured campaign) before the bill arrives.</w:t>
            </w:r>
          </w:p>
        </w:tc>
        <w:tc>
          <w:tcPr>
            <w:tcW w:type="dxa" w:w="1350"/>
            <w:tcBorders>
              <w:top w:val="single" w:color="C4D2E0" w:sz="4"/>
              <w:left w:val="single" w:color="C4D2E0" w:sz="4"/>
              <w:bottom w:val="single" w:color="C4D2E0" w:sz="4"/>
              <w:right w:val="single" w:color="C4D2E0" w:sz="4"/>
            </w:tcBorders>
            <w:shd w:fill="DCEFE1" w:color="auto" w:val="clear"/>
            <w:tcMar>
              <w:top w:type="dxa" w:w="50"/>
              <w:left w:type="dxa" w:w="80"/>
              <w:bottom w:type="dxa" w:w="50"/>
              <w:right w:type="dxa" w:w="80"/>
            </w:tcMar>
          </w:tcPr>
          <w:p>
            <w:pPr>
              <w:spacing w:after="0" w:line="226"/>
              <w:jc w:val="left"/>
            </w:pPr>
            <w:r>
              <w:rPr>
                <w:b/>
                <w:bCs/>
                <w:color w:val="1B7F3B"/>
                <w:sz w:val="16"/>
                <w:szCs w:val="16"/>
              </w:rPr>
              <w:t xml:space="preserve">Yes</w:t>
            </w:r>
          </w:p>
        </w:tc>
        <w:tc>
          <w:tcPr>
            <w:tcW w:type="dxa" w:w="1330"/>
            <w:tcBorders>
              <w:top w:val="single" w:color="C4D2E0" w:sz="4"/>
              <w:left w:val="single" w:color="C4D2E0" w:sz="4"/>
              <w:bottom w:val="single" w:color="C4D2E0" w:sz="4"/>
              <w:right w:val="single" w:color="C4D2E0" w:sz="4"/>
            </w:tcBorders>
            <w:shd w:fill="F6DADE" w:color="auto" w:val="clear"/>
            <w:tcMar>
              <w:top w:type="dxa" w:w="50"/>
              <w:left w:type="dxa" w:w="80"/>
              <w:bottom w:type="dxa" w:w="50"/>
              <w:right w:type="dxa" w:w="80"/>
            </w:tcMar>
          </w:tcPr>
          <w:p>
            <w:pPr>
              <w:spacing w:after="0" w:line="226"/>
              <w:jc w:val="left"/>
            </w:pPr>
            <w:r>
              <w:rPr>
                <w:b/>
                <w:bCs/>
                <w:color w:val="B0202E"/>
                <w:sz w:val="16"/>
                <w:szCs w:val="16"/>
              </w:rPr>
              <w:t xml:space="preserve">No — MCM has a low-balance threshold alert for auto-recharge, but nothing that detects a spending spike.</w:t>
            </w:r>
          </w:p>
        </w:tc>
      </w:tr>
    </w:tbl>
    <w:p>
      <w:pPr>
        <w:pBdr>
          <w:left w:val="single" w:color="2E5A82" w:sz="18"/>
        </w:pBdr>
        <w:shd w:fill="F3F6FA" w:color="auto" w:val="clear"/>
        <w:spacing w:after="130" w:before="40" w:line="276"/>
        <w:ind w:left="150"/>
      </w:pPr>
      <w:r>
        <w:rPr>
          <w:b/>
          <w:bCs/>
          <w:color w:val="2E5A82"/>
        </w:rPr>
        <w:t xml:space="preserve">Reading this table:  </w:t>
      </w:r>
      <w:r>
        <w:t xml:space="preserve">Rows marked "No" are not visible anywhere in MCM's billing UI or code. Rows marked "Partial" have some real, working piece behind them — the gap is depth, not total absence.</w:t>
      </w:r>
    </w:p>
    <w:p>
      <w:pPr>
        <w:pStyle w:val="Heading1"/>
        <w:spacing w:after="110" w:before="300"/>
      </w:pPr>
      <w:r>
        <w:t xml:space="preserve">6. Add-ons</w:t>
      </w:r>
    </w:p>
    <w:p>
      <w:pPr>
        <w:pStyle w:val="Heading2"/>
        <w:spacing w:after="75" w:before="190"/>
      </w:pPr>
      <w:r>
        <w:t xml:space="preserve">6.1 What Dialpad has</w:t>
      </w:r>
    </w:p>
    <w:p>
      <w:pPr>
        <w:spacing w:after="120" w:line="288"/>
      </w:pPr>
      <w:r>
        <w:t xml:space="preserve">Three concrete self-service add-ons — Business Intelligence, Coaching Teams, AI CSAT — purchasable by an Office or Company Admin straight from the portal (Office → Licenses → Preferred Add-ons → Purchase licenses, review cost, confirm). Removal is the one asymmetry: it requires contacting Customer Care rather than a self-service button.</w:t>
      </w:r>
    </w:p>
    <w:p>
      <w:pPr>
        <w:pStyle w:val="Heading2"/>
        <w:spacing w:after="75" w:before="190"/>
      </w:pPr>
      <w:r>
        <w:t xml:space="preserve">6.2 What MCM has</w:t>
      </w:r>
    </w:p>
    <w:p>
      <w:pPr>
        <w:pBdr>
          <w:left w:val="single" w:color="B45309" w:sz="18"/>
        </w:pBdr>
        <w:shd w:fill="F3F6FA" w:color="auto" w:val="clear"/>
        <w:spacing w:after="130" w:before="40" w:line="276"/>
        <w:ind w:left="150"/>
      </w:pPr>
      <w:r>
        <w:rPr>
          <w:b/>
          <w:bCs/>
          <w:color w:val="B45309"/>
        </w:rPr>
        <w:t xml:space="preserve">COMING-SOON:  </w:t>
      </w:r>
      <w:r>
        <w:t xml:space="preserve">MCM's Add-ons screen is explicitly labelled </w:t>
      </w:r>
      <w:r>
        <w:rPr>
          <w:rFonts w:ascii="Consolas" w:cs="Consolas" w:eastAsia="Consolas" w:hAnsi="Consolas"/>
          <w:color w:val="17365D"/>
          <w:sz w:val="17"/>
          <w:szCs w:val="17"/>
        </w:rPr>
        <w:t xml:space="preserve">status="coming-soon"</w:t>
      </w:r>
      <w:r>
        <w:t xml:space="preserve">. There is no purchase button and no removal path — both explicitly require contacting an account manager. So on this feature, MCM and Dialpad are similar in </w:t>
      </w:r>
      <w:r>
        <w:rPr>
          <w:i/>
          <w:iCs/>
          <w:color w:val="666666"/>
        </w:rPr>
        <w:t xml:space="preserve">spirit</w:t>
      </w:r>
      <w:r>
        <w:t xml:space="preserve"> (Dialpad also gates removal behind support) but Dialpad at least lets you </w:t>
      </w:r>
      <w:r>
        <w:rPr>
          <w:b/>
          <w:bCs/>
        </w:rPr>
        <w:t xml:space="preserve">buy</w:t>
      </w:r>
      <w:r>
        <w:t xml:space="preserve"> self-serve; MCM currently lets you do neither.</w:t>
      </w:r>
    </w:p>
    <w:p>
      <w:pPr>
        <w:spacing w:after="130"/>
      </w:pPr>
      <w:r>
        <w:rPr>
          <w:rFonts w:ascii="Consolas" w:cs="Consolas" w:eastAsia="Consolas" w:hAnsi="Consolas"/>
          <w:i/>
          <w:iCs/>
          <w:color w:val="666666"/>
          <w:sz w:val="16"/>
          <w:szCs w:val="16"/>
        </w:rPr>
        <w:t xml:space="preserve">src/pages/admin-settings/billing/add-ons/index.tsx (L143-144)</w:t>
      </w:r>
    </w:p>
    <w:p>
      <w:pPr>
        <w:pStyle w:val="Heading1"/>
        <w:spacing w:after="110" w:before="300"/>
      </w:pPr>
      <w:r>
        <w:t xml:space="preserve">7. Payment</w:t>
      </w:r>
    </w:p>
    <w:p>
      <w:pPr>
        <w:pStyle w:val="Heading2"/>
        <w:spacing w:after="75" w:before="190"/>
      </w:pPr>
      <w:r>
        <w:t xml:space="preserve">7.1 Payment methods</w:t>
      </w:r>
    </w:p>
    <w:p>
      <w:pPr>
        <w:pStyle w:val="ListParagraph"/>
        <w:numPr>
          <w:ilvl w:val="0"/>
          <w:numId w:val="2"/>
        </w:numPr>
        <w:spacing w:after="58" w:line="266"/>
      </w:pPr>
      <w:r>
        <w:rPr>
          <w:b/>
          <w:bCs/>
        </w:rPr>
        <w:t xml:space="preserve">Dialpad: </w:t>
      </w:r>
      <w:r>
        <w:t xml:space="preserve">Visa/Mastercard/Discover/Amex + debit cards bearing those logos (no prepaid cards); postal code + CVV verification on every card; check/wire transfer available but requires a signed service order; invoiced/term billing for contracted accounts.</w:t>
      </w:r>
    </w:p>
    <w:p>
      <w:pPr>
        <w:pStyle w:val="ListParagraph"/>
        <w:numPr>
          <w:ilvl w:val="0"/>
          <w:numId w:val="2"/>
        </w:numPr>
        <w:spacing w:after="58" w:line="266"/>
      </w:pPr>
      <w:r>
        <w:rPr>
          <w:b/>
          <w:bCs/>
        </w:rPr>
        <w:t xml:space="preserve">MCM: </w:t>
      </w:r>
      <w:r>
        <w:rPr>
          <w:b/>
          <w:bCs/>
          <w:color w:val="1B7F3B"/>
        </w:rPr>
        <w:t xml:space="preserve">Stripe Elements card entry works </w:t>
      </w:r>
      <w:r>
        <w:t xml:space="preserve">(postal code is collected at signup, but as a separate company-address field, not paired with card verification). </w:t>
      </w:r>
      <w:r>
        <w:rPr>
          <w:b/>
          <w:bCs/>
          <w:color w:val="B0202E"/>
        </w:rPr>
        <w:t xml:space="preserve">No invoiced/term billing, no wire/check path, no signed-service-order requirement exist.</w:t>
      </w:r>
    </w:p>
    <w:p>
      <w:pPr>
        <w:pStyle w:val="Heading2"/>
        <w:spacing w:after="75" w:before="190"/>
      </w:pPr>
      <w:r>
        <w:t xml:space="preserve">7.2 Credit card verification (micro-charge)</w:t>
      </w:r>
    </w:p>
    <w:p>
      <w:pPr>
        <w:spacing w:after="120" w:line="288"/>
      </w:pPr>
      <w:r>
        <w:t xml:space="preserve">Dialpad can require a small test charge on sign-up: the customer looks up their bank statement, enters the last 4 digits and the exact charge amount, gets two attempts, and the charge auto-refunds within 14 days regardless of outcome — a real fraud check beyond simple tokenization.</w:t>
      </w:r>
    </w:p>
    <w:p>
      <w:pPr>
        <w:pBdr>
          <w:left w:val="single" w:color="B0202E" w:sz="18"/>
        </w:pBdr>
        <w:shd w:fill="F3F6FA" w:color="auto" w:val="clear"/>
        <w:spacing w:after="130" w:before="40" w:line="276"/>
        <w:ind w:left="150"/>
      </w:pPr>
      <w:r>
        <w:rPr>
          <w:b/>
          <w:bCs/>
          <w:color w:val="B0202E"/>
        </w:rPr>
        <w:t xml:space="preserve">NO:  </w:t>
      </w:r>
      <w:r>
        <w:t xml:space="preserve">MCM has standard Stripe tokenization only. No micro-charge, no last-4/amount verification, no attempt limit, nothing resembling this flow exists in the codebase.</w:t>
      </w:r>
    </w:p>
    <w:p>
      <w:pPr>
        <w:pStyle w:val="Heading2"/>
        <w:spacing w:after="75" w:before="190"/>
      </w:pPr>
      <w:r>
        <w:t xml:space="preserve">7.3 Auto-recharge / low balance</w:t>
      </w:r>
    </w:p>
    <w:p>
      <w:pPr>
        <w:spacing w:after="120" w:line="288"/>
      </w:pPr>
      <w:r>
        <w:t xml:space="preserve">Both platforms match here. Dialpad triggers below a fixed $5 floor with admin-configurable trigger and refill amounts; MCM's </w:t>
      </w:r>
      <w:r>
        <w:rPr>
          <w:rFonts w:ascii="Consolas" w:cs="Consolas" w:eastAsia="Consolas" w:hAnsi="Consolas"/>
          <w:color w:val="17365D"/>
          <w:sz w:val="17"/>
          <w:szCs w:val="17"/>
        </w:rPr>
        <w:t xml:space="preserve">auto-purchase.tsx</w:t>
      </w:r>
      <w:r>
        <w:t xml:space="preserve"> does the same — admin sets a threshold and refill amount, and the saved card is charged automatically. </w:t>
      </w:r>
      <w:r>
        <w:rPr>
          <w:b/>
          <w:bCs/>
          <w:color w:val="1B7F3B"/>
        </w:rPr>
        <w:t xml:space="preserve">This is a genuine parity point.</w:t>
      </w:r>
    </w:p>
    <w:p>
      <w:pPr>
        <w:pStyle w:val="Heading2"/>
        <w:spacing w:after="75" w:before="190"/>
      </w:pPr>
      <w:r>
        <w:t xml:space="preserve">7.4 Cancellation &amp; refund policy</w:t>
      </w:r>
    </w:p>
    <w:p>
      <w:pPr>
        <w:pStyle w:val="ListParagraph"/>
        <w:numPr>
          <w:ilvl w:val="0"/>
          <w:numId w:val="2"/>
        </w:numPr>
        <w:spacing w:after="58" w:line="266"/>
      </w:pPr>
      <w:r>
        <w:rPr>
          <w:b/>
          <w:bCs/>
        </w:rPr>
        <w:t xml:space="preserve">Dialpad: </w:t>
      </w:r>
      <w:r>
        <w:t xml:space="preserve">self-service cancellation; a 3-day window for refunds on both monthly and annual plans; after that, no refunds — annual plans never qualify regardless of remaining term; unused calling/international credits expire on the termination date; unused licenses are non-refundable.</w:t>
      </w:r>
    </w:p>
    <w:p>
      <w:pPr>
        <w:pStyle w:val="ListParagraph"/>
        <w:numPr>
          <w:ilvl w:val="0"/>
          <w:numId w:val="2"/>
        </w:numPr>
        <w:spacing w:after="58" w:line="266"/>
      </w:pPr>
      <w:r>
        <w:rPr>
          <w:b/>
          <w:bCs/>
        </w:rPr>
        <w:t xml:space="preserve">MCM: </w:t>
      </w:r>
      <w:r>
        <w:rPr>
          <w:b/>
          <w:bCs/>
          <w:color w:val="1B7F3B"/>
        </w:rPr>
        <w:t xml:space="preserve">self-service cancellation is real</w:t>
      </w:r>
      <w:r>
        <w:t xml:space="preserve"> (</w:t>
      </w:r>
      <w:r>
        <w:rPr>
          <w:rFonts w:ascii="Consolas" w:cs="Consolas" w:eastAsia="Consolas" w:hAnsi="Consolas"/>
          <w:color w:val="17365D"/>
          <w:sz w:val="17"/>
          <w:szCs w:val="17"/>
        </w:rPr>
        <w:t xml:space="preserve">plan/index.tsx</w:t>
      </w:r>
      <w:r>
        <w:t xml:space="preserve">, L211-220). </w:t>
      </w:r>
      <w:r>
        <w:rPr>
          <w:b/>
          <w:bCs/>
          <w:color w:val="B0202E"/>
        </w:rPr>
        <w:t xml:space="preserve">No refund-window policy, no annual no-refund clause, and no credit-expiry-on-cancellation logic or copy exist anywhere — this is a legal/finance gap as much as a product one.</w:t>
      </w:r>
    </w:p>
    <w:p>
      <w:r>
        <w:br w:type="page"/>
      </w:r>
    </w:p>
    <w:p>
      <w:pPr>
        <w:pStyle w:val="Heading1"/>
        <w:spacing w:after="110" w:before="300"/>
      </w:pPr>
      <w:r>
        <w:t xml:space="preserve">8. Cost governance — where the gap is widest</w:t>
      </w:r>
    </w:p>
    <w:p>
      <w:pPr>
        <w:pStyle w:val="Heading2"/>
        <w:spacing w:after="75" w:before="190"/>
      </w:pPr>
      <w:r>
        <w:t xml:space="preserve">8.1 Cost centers</w:t>
      </w:r>
    </w:p>
    <w:p>
      <w:pPr>
        <w:spacing w:after="120" w:line="288"/>
      </w:pPr>
      <w:r>
        <w:t xml:space="preserve">Dialpad's cost centers are a full internal chargeback system: each one has a code (≤20 chars), display name, optional external ERP/GL reference, and a status. Spend can be allocated by percentage across office, user, or license — every allocation must total exactly 100%, up to 10 cost centers per item — with a defined precedence (user beats license beats office) when more than one allocation applies. Archived centers stay visible in historical reports. Three CSV report types (office allocation summary, license allocation detail, user allocation detail) are emailed to whoever requested them. Dialpad is explicit that cost centers are metadata for reporting only — they never change actual invoice totals, taxes, or billing workflow.</w:t>
      </w:r>
    </w:p>
    <w:p>
      <w:pPr>
        <w:pBdr>
          <w:left w:val="single" w:color="B0202E" w:sz="18"/>
        </w:pBdr>
        <w:shd w:fill="F3F6FA" w:color="auto" w:val="clear"/>
        <w:spacing w:after="130" w:before="40" w:line="276"/>
        <w:ind w:left="150"/>
      </w:pPr>
      <w:r>
        <w:rPr>
          <w:b/>
          <w:bCs/>
          <w:color w:val="B0202E"/>
        </w:rPr>
        <w:t xml:space="preserve">MCM: CRUD-only, confirmed still true on this pass.  </w:t>
      </w:r>
      <w:r>
        <w:t xml:space="preserve">The allocation engine — </w:t>
      </w:r>
      <w:r>
        <w:rPr>
          <w:rFonts w:ascii="Consolas" w:cs="Consolas" w:eastAsia="Consolas" w:hAnsi="Consolas"/>
          <w:color w:val="17365D"/>
          <w:sz w:val="17"/>
          <w:szCs w:val="17"/>
        </w:rPr>
        <w:t xml:space="preserve">checkAllocation</w:t>
      </w:r>
      <w:r>
        <w:t xml:space="preserve">, </w:t>
      </w:r>
      <w:r>
        <w:rPr>
          <w:rFonts w:ascii="Consolas" w:cs="Consolas" w:eastAsia="Consolas" w:hAnsi="Consolas"/>
          <w:color w:val="17365D"/>
          <w:sz w:val="17"/>
          <w:szCs w:val="17"/>
        </w:rPr>
        <w:t xml:space="preserve">resolveAllocation</w:t>
      </w:r>
      <w:r>
        <w:t xml:space="preserve"> (precedence person &gt; license &gt; location), </w:t>
      </w:r>
      <w:r>
        <w:rPr>
          <w:rFonts w:ascii="Consolas" w:cs="Consolas" w:eastAsia="Consolas" w:hAnsi="Consolas"/>
          <w:color w:val="17365D"/>
          <w:sz w:val="17"/>
          <w:szCs w:val="17"/>
        </w:rPr>
        <w:t xml:space="preserve">splitAmount</w:t>
      </w:r>
      <w:r>
        <w:t xml:space="preserve"> — genuinely exists, fully written, in </w:t>
      </w:r>
      <w:r>
        <w:rPr>
          <w:rFonts w:ascii="Consolas" w:cs="Consolas" w:eastAsia="Consolas" w:hAnsi="Consolas"/>
          <w:color w:val="17365D"/>
          <w:sz w:val="17"/>
          <w:szCs w:val="17"/>
        </w:rPr>
        <w:t xml:space="preserve">src/lib/cost-centres.ts</w:t>
      </w:r>
      <w:r>
        <w:t xml:space="preserve">. But a repo-wide search for calls to those functions from anywhere else returns </w:t>
      </w:r>
      <w:r>
        <w:rPr>
          <w:b/>
          <w:bCs/>
        </w:rPr>
        <w:t xml:space="preserve">zero</w:t>
      </w:r>
      <w:r>
        <w:t xml:space="preserve"> — nothing invokes them. The screen itself is labelled coming-soon and says outright: "codes are saved for your company, but nothing splits spending by them yet — no report or invoice uses them." There are no percentage-allocation inputs in the UI, the stored record has no allocation fields, and there is no CSV generation or email-sending code for reports.</w:t>
      </w:r>
    </w:p>
    <w:p>
      <w:pPr>
        <w:spacing w:after="130"/>
      </w:pPr>
      <w:r>
        <w:rPr>
          <w:rFonts w:ascii="Consolas" w:cs="Consolas" w:eastAsia="Consolas" w:hAnsi="Consolas"/>
          <w:i/>
          <w:iCs/>
          <w:color w:val="666666"/>
          <w:sz w:val="16"/>
          <w:szCs w:val="16"/>
        </w:rPr>
        <w:t xml:space="preserve">src/lib/cost-centres.ts (L100-212) · src/pages/admin-settings/billing/cost-centres/index.tsx (L121-242)</w:t>
      </w:r>
    </w:p>
    <w:p>
      <w:pPr>
        <w:pStyle w:val="Heading2"/>
        <w:spacing w:after="75" w:before="190"/>
      </w:pPr>
      <w:r>
        <w:t xml:space="preserve">8.2 License pools</w:t>
      </w:r>
    </w:p>
    <w:p>
      <w:pPr>
        <w:spacing w:after="120" w:line="288"/>
      </w:pPr>
      <w:r>
        <w:t xml:space="preserve">Dialpad automatically shares unused licenses across every office in a company that bills in the same currency — one pool per currency, mandatory participation once enabled, licenses billed once either to the office using them or to the shared pool. Certain license types (Agentic AI, Recurring Credits, Omnichannel/Speech-IVR sessions, Local Presence, Autoreach) are excluded from pooling.</w:t>
      </w:r>
    </w:p>
    <w:p>
      <w:pPr>
        <w:pBdr>
          <w:left w:val="single" w:color="B0202E" w:sz="18"/>
        </w:pBdr>
        <w:shd w:fill="F3F6FA" w:color="auto" w:val="clear"/>
        <w:spacing w:after="130" w:before="40" w:line="276"/>
        <w:ind w:left="150"/>
      </w:pPr>
      <w:r>
        <w:rPr>
          <w:b/>
          <w:bCs/>
          <w:color w:val="B0202E"/>
        </w:rPr>
        <w:t xml:space="preserve">NO:  </w:t>
      </w:r>
      <w:r>
        <w:t xml:space="preserve">Zero matches for any license-pooling concept anywhere in MCM's codebase. Every company/tenant manages its own licenses independently — there is no multi-office/multi-currency sharing concept in the product at all.</w:t>
      </w:r>
    </w:p>
    <w:p>
      <w:pPr>
        <w:pStyle w:val="Heading2"/>
        <w:spacing w:after="75" w:before="190"/>
      </w:pPr>
      <w:r>
        <w:t xml:space="preserve">8.3 Flex licenses</w:t>
      </w:r>
    </w:p>
    <w:p>
      <w:pPr>
        <w:spacing w:after="120" w:line="288"/>
      </w:pPr>
      <w:r>
        <w:t xml:space="preserve">Dialpad sells two license commitment levels: Flex (self-service, instant, monthly, prorated daily, premium list price, no commitment — for temporary/seasonal/pilot needs) versus Contracted (annual/term, requires an Account Executive, better pricing, long-term commitment).</w:t>
      </w:r>
    </w:p>
    <w:p>
      <w:pPr>
        <w:pBdr>
          <w:left w:val="single" w:color="B0202E" w:sz="18"/>
        </w:pBdr>
        <w:shd w:fill="F3F6FA" w:color="auto" w:val="clear"/>
        <w:spacing w:after="130" w:before="40" w:line="276"/>
        <w:ind w:left="150"/>
      </w:pPr>
      <w:r>
        <w:rPr>
          <w:b/>
          <w:bCs/>
          <w:color w:val="B0202E"/>
        </w:rPr>
        <w:t xml:space="preserve">NO:  </w:t>
      </w:r>
      <w:r>
        <w:t xml:space="preserve">MCM has one license type with one purchase flow. There is no short-term/no-commitment tier distinct from a standard seat purchase.</w:t>
      </w:r>
    </w:p>
    <w:p>
      <w:pPr>
        <w:pStyle w:val="Heading1"/>
        <w:spacing w:after="110" w:before="300"/>
      </w:pPr>
      <w:r>
        <w:t xml:space="preserve">9. Account lifecycle</w:t>
      </w:r>
    </w:p>
    <w:p>
      <w:pPr>
        <w:pStyle w:val="Heading2"/>
        <w:spacing w:after="75" w:before="190"/>
      </w:pPr>
      <w:r>
        <w:t xml:space="preserve">9.1 On-hold vs suspended</w:t>
      </w:r>
    </w:p>
    <w:p>
      <w:pPr>
        <w:spacing w:after="120" w:line="288"/>
      </w:pPr>
      <w:r>
        <w:t xml:space="preserve">Dialpad distinguishes two failure states: </w:t>
      </w:r>
      <w:r>
        <w:rPr>
          <w:b/>
          <w:bCs/>
        </w:rPr>
        <w:t xml:space="preserve">on-hold</w:t>
      </w:r>
      <w:r>
        <w:t xml:space="preserve"> (payment failed, service still works, admin emailed + IVR reminder + in-app banner) and </w:t>
      </w:r>
      <w:r>
        <w:rPr>
          <w:b/>
          <w:bCs/>
        </w:rPr>
        <w:t xml:space="preserve">suspended</w:t>
      </w:r>
      <w:r>
        <w:t xml:space="preserve"> (lines fully cut off, callers hear a payment-required message, admin gets a suspension IVR notice, and reinstatement needs Customer Care). MCM's </w:t>
      </w:r>
      <w:r>
        <w:rPr>
          <w:rFonts w:ascii="Consolas" w:cs="Consolas" w:eastAsia="Consolas" w:hAnsi="Consolas"/>
          <w:color w:val="17365D"/>
          <w:sz w:val="17"/>
          <w:szCs w:val="17"/>
        </w:rPr>
        <w:t xml:space="preserve">billing-alerts.ts</w:t>
      </w:r>
      <w:r>
        <w:t xml:space="preserve"> and </w:t>
      </w:r>
      <w:r>
        <w:rPr>
          <w:rFonts w:ascii="Consolas" w:cs="Consolas" w:eastAsia="Consolas" w:hAnsi="Consolas"/>
          <w:color w:val="17365D"/>
          <w:sz w:val="17"/>
          <w:szCs w:val="17"/>
        </w:rPr>
        <w:t xml:space="preserve">account-state-banner.tsx</w:t>
      </w:r>
      <w:r>
        <w:t xml:space="preserve"> implement the same two-state distinction with a resolution link to the plan page — </w:t>
      </w:r>
      <w:r>
        <w:rPr>
          <w:b/>
          <w:bCs/>
          <w:color w:val="1B7F3B"/>
        </w:rPr>
        <w:t xml:space="preserve">a genuine parity point</w:t>
      </w:r>
      <w:r>
        <w:t xml:space="preserve">. What can't be verified from this repo is the IVR-to-caller announcement piece, since that logic (if it exists) would live on the FreeSWITCH switch, not in this webapp — worth checking separately rather than assuming either way.</w:t>
      </w:r>
    </w:p>
    <w:p>
      <w:pPr>
        <w:spacing w:after="130"/>
      </w:pPr>
      <w:r>
        <w:rPr>
          <w:rFonts w:ascii="Consolas" w:cs="Consolas" w:eastAsia="Consolas" w:hAnsi="Consolas"/>
          <w:i/>
          <w:iCs/>
          <w:color w:val="666666"/>
          <w:sz w:val="16"/>
          <w:szCs w:val="16"/>
        </w:rPr>
        <w:t xml:space="preserve">src/lib/billing-alerts.ts (L44-173) · src/components/mcm/account-state-banner.tsx (L34-84)</w:t>
      </w:r>
    </w:p>
    <w:p>
      <w:r>
        <w:br w:type="page"/>
      </w:r>
    </w:p>
    <w:p>
      <w:pPr>
        <w:pStyle w:val="Heading1"/>
        <w:spacing w:after="110" w:before="300"/>
      </w:pPr>
      <w:r>
        <w:t xml:space="preserve">10. What Dialpad has that MCM doesn't — consolidated</w:t>
      </w:r>
    </w:p>
    <w:p>
      <w:pPr>
        <w:spacing w:after="120" w:line="288"/>
      </w:pPr>
      <w:r>
        <w:t xml:space="preserve">Pulling every gap from the sections above into one list, ranked by how much it would take to close:</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420"/>
        <w:gridCol w:w="4800"/>
        <w:gridCol w:w="2540"/>
      </w:tblGrid>
      <w:tr>
        <w:trPr>
          <w:tblHeader/>
        </w:trPr>
        <w:tc>
          <w:tcPr>
            <w:tcW w:type="dxa" w:w="420"/>
            <w:tcBorders>
              <w:top w:val="single" w:color="C4D2E0" w:sz="4"/>
              <w:left w:val="single" w:color="C4D2E0" w:sz="4"/>
              <w:bottom w:val="single" w:color="C4D2E0" w:sz="4"/>
              <w:right w:val="single" w:color="C4D2E0" w:sz="4"/>
            </w:tcBorders>
            <w:shd w:fill="17365D" w:color="auto" w:val="clear"/>
            <w:tcMar>
              <w:top w:type="dxa" w:w="50"/>
              <w:left w:type="dxa" w:w="80"/>
              <w:bottom w:type="dxa" w:w="50"/>
              <w:right w:type="dxa" w:w="80"/>
            </w:tcMar>
          </w:tcPr>
          <w:p>
            <w:pPr>
              <w:spacing w:after="0" w:line="226"/>
              <w:jc w:val="left"/>
            </w:pPr>
            <w:r>
              <w:rPr>
                <w:b/>
                <w:bCs/>
                <w:color w:val="FFFFFF"/>
                <w:sz w:val="18"/>
                <w:szCs w:val="18"/>
              </w:rPr>
              <w:t xml:space="preserve">#</w:t>
            </w:r>
          </w:p>
        </w:tc>
        <w:tc>
          <w:tcPr>
            <w:tcW w:type="dxa" w:w="4800"/>
            <w:tcBorders>
              <w:top w:val="single" w:color="C4D2E0" w:sz="4"/>
              <w:left w:val="single" w:color="C4D2E0" w:sz="4"/>
              <w:bottom w:val="single" w:color="C4D2E0" w:sz="4"/>
              <w:right w:val="single" w:color="C4D2E0" w:sz="4"/>
            </w:tcBorders>
            <w:shd w:fill="17365D" w:color="auto" w:val="clear"/>
            <w:tcMar>
              <w:top w:type="dxa" w:w="50"/>
              <w:left w:type="dxa" w:w="80"/>
              <w:bottom w:type="dxa" w:w="50"/>
              <w:right w:type="dxa" w:w="80"/>
            </w:tcMar>
          </w:tcPr>
          <w:p>
            <w:pPr>
              <w:spacing w:after="0" w:line="226"/>
              <w:jc w:val="left"/>
            </w:pPr>
            <w:r>
              <w:rPr>
                <w:b/>
                <w:bCs/>
                <w:color w:val="FFFFFF"/>
                <w:sz w:val="18"/>
                <w:szCs w:val="18"/>
              </w:rPr>
              <w:t xml:space="preserve">Gap</w:t>
            </w:r>
          </w:p>
        </w:tc>
        <w:tc>
          <w:tcPr>
            <w:tcW w:type="dxa" w:w="2540"/>
            <w:tcBorders>
              <w:top w:val="single" w:color="C4D2E0" w:sz="4"/>
              <w:left w:val="single" w:color="C4D2E0" w:sz="4"/>
              <w:bottom w:val="single" w:color="C4D2E0" w:sz="4"/>
              <w:right w:val="single" w:color="C4D2E0" w:sz="4"/>
            </w:tcBorders>
            <w:shd w:fill="17365D" w:color="auto" w:val="clear"/>
            <w:tcMar>
              <w:top w:type="dxa" w:w="50"/>
              <w:left w:type="dxa" w:w="80"/>
              <w:bottom w:type="dxa" w:w="50"/>
              <w:right w:type="dxa" w:w="80"/>
            </w:tcMar>
          </w:tcPr>
          <w:p>
            <w:pPr>
              <w:spacing w:after="0" w:line="226"/>
              <w:jc w:val="left"/>
            </w:pPr>
            <w:r>
              <w:rPr>
                <w:b/>
                <w:bCs/>
                <w:color w:val="FFFFFF"/>
                <w:sz w:val="18"/>
                <w:szCs w:val="18"/>
              </w:rPr>
              <w:t xml:space="preserve">Closest current state</w:t>
            </w:r>
          </w:p>
        </w:tc>
      </w:tr>
      <w:tr>
        <w:tc>
          <w:tcPr>
            <w:tcW w:type="dxa" w:w="42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1</w:t>
            </w:r>
          </w:p>
        </w:tc>
        <w:tc>
          <w:tcPr>
            <w:tcW w:type="dxa" w:w="480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Cost-centre spend allocation &amp; CSV reports (engine already written, just unwired)</w:t>
            </w:r>
          </w:p>
        </w:tc>
        <w:tc>
          <w:tcPr>
            <w:tcW w:type="dxa" w:w="254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YES-PARTIAL — cheapest fix on this list</w:t>
            </w:r>
          </w:p>
        </w:tc>
      </w:tr>
      <w:tr>
        <w:tc>
          <w:tcPr>
            <w:tcW w:type="dxa" w:w="42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2</w:t>
            </w:r>
          </w:p>
        </w:tc>
        <w:tc>
          <w:tcPr>
            <w:tcW w:type="dxa" w:w="480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Self-service add-on purchase (any add-ons at all)</w:t>
            </w:r>
          </w:p>
        </w:tc>
        <w:tc>
          <w:tcPr>
            <w:tcW w:type="dxa" w:w="254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COMING-SOON</w:t>
            </w:r>
          </w:p>
        </w:tc>
      </w:tr>
      <w:tr>
        <w:tc>
          <w:tcPr>
            <w:tcW w:type="dxa" w:w="42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3</w:t>
            </w:r>
          </w:p>
        </w:tc>
        <w:tc>
          <w:tcPr>
            <w:tcW w:type="dxa" w:w="480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Real generated PDF invoices (not screenshot-to-PDF)</w:t>
            </w:r>
          </w:p>
        </w:tc>
        <w:tc>
          <w:tcPr>
            <w:tcW w:type="dxa" w:w="254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YES-PARTIAL</w:t>
            </w:r>
          </w:p>
        </w:tc>
      </w:tr>
      <w:tr>
        <w:tc>
          <w:tcPr>
            <w:tcW w:type="dxa" w:w="42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4</w:t>
            </w:r>
          </w:p>
        </w:tc>
        <w:tc>
          <w:tcPr>
            <w:tcW w:type="dxa" w:w="480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Granular per-call usage export (user/timestamp/number/duration/cost/rate)</w:t>
            </w:r>
          </w:p>
        </w:tc>
        <w:tc>
          <w:tcPr>
            <w:tcW w:type="dxa" w:w="254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YES-PARTIAL (aggregated only)</w:t>
            </w:r>
          </w:p>
        </w:tc>
      </w:tr>
      <w:tr>
        <w:tc>
          <w:tcPr>
            <w:tcW w:type="dxa" w:w="42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5</w:t>
            </w:r>
          </w:p>
        </w:tc>
        <w:tc>
          <w:tcPr>
            <w:tcW w:type="dxa" w:w="480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Usage analytics: service/subtype filters, top-service, daily trend, Excel export</w:t>
            </w:r>
          </w:p>
        </w:tc>
        <w:tc>
          <w:tcPr>
            <w:tcW w:type="dxa" w:w="254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YES-PARTIAL (date filter only)</w:t>
            </w:r>
          </w:p>
        </w:tc>
      </w:tr>
      <w:tr>
        <w:tc>
          <w:tcPr>
            <w:tcW w:type="dxa" w:w="42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6</w:t>
            </w:r>
          </w:p>
        </w:tc>
        <w:tc>
          <w:tcPr>
            <w:tcW w:type="dxa" w:w="480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International &amp; toll-free call-rate metering</w:t>
            </w:r>
          </w:p>
        </w:tc>
        <w:tc>
          <w:tcPr>
            <w:tcW w:type="dxa" w:w="254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YES-PARTIAL (domestic only)</w:t>
            </w:r>
          </w:p>
        </w:tc>
      </w:tr>
      <w:tr>
        <w:tc>
          <w:tcPr>
            <w:tcW w:type="dxa" w:w="42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7</w:t>
            </w:r>
          </w:p>
        </w:tc>
        <w:tc>
          <w:tcPr>
            <w:tcW w:type="dxa" w:w="480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Fax-per-page billing</w:t>
            </w:r>
          </w:p>
        </w:tc>
        <w:tc>
          <w:tcPr>
            <w:tcW w:type="dxa" w:w="254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NO</w:t>
            </w:r>
          </w:p>
        </w:tc>
      </w:tr>
      <w:tr>
        <w:tc>
          <w:tcPr>
            <w:tcW w:type="dxa" w:w="42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8</w:t>
            </w:r>
          </w:p>
        </w:tc>
        <w:tc>
          <w:tcPr>
            <w:tcW w:type="dxa" w:w="480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Tiered credit consumption order (allowance → wallet → overflow)</w:t>
            </w:r>
          </w:p>
        </w:tc>
        <w:tc>
          <w:tcPr>
            <w:tcW w:type="dxa" w:w="254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NO (flat wallet)</w:t>
            </w:r>
          </w:p>
        </w:tc>
      </w:tr>
      <w:tr>
        <w:tc>
          <w:tcPr>
            <w:tcW w:type="dxa" w:w="42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9</w:t>
            </w:r>
          </w:p>
        </w:tc>
        <w:tc>
          <w:tcPr>
            <w:tcW w:type="dxa" w:w="480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3-day refund window / annual no-refund / credit-expiry-on-cancel policy</w:t>
            </w:r>
          </w:p>
        </w:tc>
        <w:tc>
          <w:tcPr>
            <w:tcW w:type="dxa" w:w="254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NO</w:t>
            </w:r>
          </w:p>
        </w:tc>
      </w:tr>
      <w:tr>
        <w:tc>
          <w:tcPr>
            <w:tcW w:type="dxa" w:w="42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10</w:t>
            </w:r>
          </w:p>
        </w:tc>
        <w:tc>
          <w:tcPr>
            <w:tcW w:type="dxa" w:w="480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Credit-card micro-charge verification</w:t>
            </w:r>
          </w:p>
        </w:tc>
        <w:tc>
          <w:tcPr>
            <w:tcW w:type="dxa" w:w="254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NO</w:t>
            </w:r>
          </w:p>
        </w:tc>
      </w:tr>
      <w:tr>
        <w:tc>
          <w:tcPr>
            <w:tcW w:type="dxa" w:w="42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11</w:t>
            </w:r>
          </w:p>
        </w:tc>
        <w:tc>
          <w:tcPr>
            <w:tcW w:type="dxa" w:w="480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Invoiced / term billing (wire, check, signed service order)</w:t>
            </w:r>
          </w:p>
        </w:tc>
        <w:tc>
          <w:tcPr>
            <w:tcW w:type="dxa" w:w="254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NO</w:t>
            </w:r>
          </w:p>
        </w:tc>
      </w:tr>
      <w:tr>
        <w:tc>
          <w:tcPr>
            <w:tcW w:type="dxa" w:w="42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12</w:t>
            </w:r>
          </w:p>
        </w:tc>
        <w:tc>
          <w:tcPr>
            <w:tcW w:type="dxa" w:w="480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Room-phone / shared-line / fax license types (seats are user-only)</w:t>
            </w:r>
          </w:p>
        </w:tc>
        <w:tc>
          <w:tcPr>
            <w:tcW w:type="dxa" w:w="254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NO</w:t>
            </w:r>
          </w:p>
        </w:tc>
      </w:tr>
      <w:tr>
        <w:tc>
          <w:tcPr>
            <w:tcW w:type="dxa" w:w="42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13</w:t>
            </w:r>
          </w:p>
        </w:tc>
        <w:tc>
          <w:tcPr>
            <w:tcW w:type="dxa" w:w="480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License pools (cross-office/currency sharing)</w:t>
            </w:r>
          </w:p>
        </w:tc>
        <w:tc>
          <w:tcPr>
            <w:tcW w:type="dxa" w:w="2540"/>
            <w:tcBorders>
              <w:top w:val="single" w:color="C4D2E0" w:sz="4"/>
              <w:left w:val="single" w:color="C4D2E0" w:sz="4"/>
              <w:bottom w:val="single" w:color="C4D2E0" w:sz="4"/>
              <w:right w:val="single" w:color="C4D2E0" w:sz="4"/>
            </w:tcBorders>
            <w:shd w:fill="FFFFFF" w:color="auto" w:val="clear"/>
            <w:tcMar>
              <w:top w:type="dxa" w:w="50"/>
              <w:left w:type="dxa" w:w="80"/>
              <w:bottom w:type="dxa" w:w="50"/>
              <w:right w:type="dxa" w:w="80"/>
            </w:tcMar>
          </w:tcPr>
          <w:p>
            <w:pPr>
              <w:spacing w:after="0" w:line="226"/>
              <w:jc w:val="left"/>
            </w:pPr>
            <w:r>
              <w:rPr>
                <w:color w:val="222222"/>
                <w:sz w:val="16"/>
                <w:szCs w:val="16"/>
              </w:rPr>
              <w:t xml:space="preserve">NO</w:t>
            </w:r>
          </w:p>
        </w:tc>
      </w:tr>
      <w:tr>
        <w:tc>
          <w:tcPr>
            <w:tcW w:type="dxa" w:w="42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14</w:t>
            </w:r>
          </w:p>
        </w:tc>
        <w:tc>
          <w:tcPr>
            <w:tcW w:type="dxa" w:w="480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Flex licenses (instant, no-commitment, prorated-daily tier)</w:t>
            </w:r>
          </w:p>
        </w:tc>
        <w:tc>
          <w:tcPr>
            <w:tcW w:type="dxa" w:w="2540"/>
            <w:tcBorders>
              <w:top w:val="single" w:color="C4D2E0" w:sz="4"/>
              <w:left w:val="single" w:color="C4D2E0" w:sz="4"/>
              <w:bottom w:val="single" w:color="C4D2E0" w:sz="4"/>
              <w:right w:val="single" w:color="C4D2E0" w:sz="4"/>
            </w:tcBorders>
            <w:shd w:fill="EEF3F8" w:color="auto" w:val="clear"/>
            <w:tcMar>
              <w:top w:type="dxa" w:w="50"/>
              <w:left w:type="dxa" w:w="80"/>
              <w:bottom w:type="dxa" w:w="50"/>
              <w:right w:type="dxa" w:w="80"/>
            </w:tcMar>
          </w:tcPr>
          <w:p>
            <w:pPr>
              <w:spacing w:after="0" w:line="226"/>
              <w:jc w:val="left"/>
            </w:pPr>
            <w:r>
              <w:rPr>
                <w:color w:val="222222"/>
                <w:sz w:val="16"/>
                <w:szCs w:val="16"/>
              </w:rPr>
              <w:t xml:space="preserve">NO</w:t>
            </w:r>
          </w:p>
        </w:tc>
      </w:tr>
    </w:tbl>
    <w:p>
      <w:pPr>
        <w:pStyle w:val="Heading1"/>
        <w:spacing w:after="110" w:before="300"/>
      </w:pPr>
      <w:r>
        <w:t xml:space="preserve">11. Suggested order to close the gap</w:t>
      </w:r>
    </w:p>
    <w:p>
      <w:pPr>
        <w:pBdr>
          <w:left w:val="single" w:color="B0202E" w:sz="18"/>
        </w:pBdr>
        <w:shd w:fill="F3F6FA" w:color="auto" w:val="clear"/>
        <w:spacing w:after="130" w:before="40" w:line="276"/>
        <w:ind w:left="150"/>
      </w:pPr>
      <w:r>
        <w:rPr>
          <w:b/>
          <w:bCs/>
          <w:color w:val="B0202E"/>
        </w:rPr>
        <w:t xml:space="preserve">Read this after Sections 3 &amp; 4, not instead of them:  </w:t>
      </w:r>
      <w:r>
        <w:t xml:space="preserve">the items below close the feature gap with Dialpad. M1–M5 in Section 3 are a different, higher-priority category — production correctness and financial risk — and should be fixed first regardless of Dialpad parity. This list assumes those are already underway.</w:t>
      </w:r>
    </w:p>
    <w:p>
      <w:pPr>
        <w:pStyle w:val="ListParagraph"/>
        <w:numPr>
          <w:ilvl w:val="0"/>
          <w:numId w:val="2"/>
        </w:numPr>
        <w:spacing w:after="58" w:line="266"/>
      </w:pPr>
      <w:r>
        <w:rPr>
          <w:b/>
          <w:bCs/>
        </w:rPr>
        <w:t xml:space="preserve">Wire the cost-centre engine that already exists </w:t>
      </w:r>
      <w:r>
        <w:t xml:space="preserve">— the highest ratio of value to effort on this entire list; the hard part (allocation math, precedence, splitting) is already written and just needs UI + report generation.</w:t>
      </w:r>
    </w:p>
    <w:p>
      <w:pPr>
        <w:pStyle w:val="ListParagraph"/>
        <w:numPr>
          <w:ilvl w:val="0"/>
          <w:numId w:val="2"/>
        </w:numPr>
        <w:spacing w:after="58" w:line="266"/>
      </w:pPr>
      <w:r>
        <w:rPr>
          <w:b/>
          <w:bCs/>
        </w:rPr>
        <w:t xml:space="preserve">Real PDF invoices </w:t>
      </w:r>
      <w:r>
        <w:t xml:space="preserve">— replaces the screenshot-to-PDF workaround with a proper generated document; closes a visible trust gap for finance teams.</w:t>
      </w:r>
    </w:p>
    <w:p>
      <w:pPr>
        <w:pStyle w:val="ListParagraph"/>
        <w:numPr>
          <w:ilvl w:val="0"/>
          <w:numId w:val="2"/>
        </w:numPr>
        <w:spacing w:after="58" w:line="266"/>
      </w:pPr>
      <w:r>
        <w:rPr>
          <w:b/>
          <w:bCs/>
        </w:rPr>
        <w:t xml:space="preserve">Granular usage export + analytics filters </w:t>
      </w:r>
      <w:r>
        <w:t xml:space="preserve">— service/subtype filters and a real per-call CSV bring the usage screen to Dialpad-equivalent depth.</w:t>
      </w:r>
    </w:p>
    <w:p>
      <w:pPr>
        <w:pStyle w:val="ListParagraph"/>
        <w:numPr>
          <w:ilvl w:val="0"/>
          <w:numId w:val="2"/>
        </w:numPr>
        <w:spacing w:after="58" w:line="266"/>
      </w:pPr>
      <w:r>
        <w:rPr>
          <w:b/>
          <w:bCs/>
        </w:rPr>
        <w:t xml:space="preserve">Self-service add-ons </w:t>
      </w:r>
      <w:r>
        <w:t xml:space="preserve">— even one or two real add-ons with a working purchase button would close the biggest visible gap on the Add-ons screen.</w:t>
      </w:r>
    </w:p>
    <w:p>
      <w:pPr>
        <w:pStyle w:val="ListParagraph"/>
        <w:numPr>
          <w:ilvl w:val="0"/>
          <w:numId w:val="2"/>
        </w:numPr>
        <w:spacing w:after="58" w:line="266"/>
      </w:pPr>
      <w:r>
        <w:rPr>
          <w:b/>
          <w:bCs/>
        </w:rPr>
        <w:t xml:space="preserve">Cancellation/refund policy logic </w:t>
      </w:r>
      <w:r>
        <w:t xml:space="preserve">— this is as much a legal/finance decision as an engineering one; needs a policy decision before it can be built.</w:t>
      </w:r>
    </w:p>
    <w:p>
      <w:pPr>
        <w:pStyle w:val="ListParagraph"/>
        <w:numPr>
          <w:ilvl w:val="0"/>
          <w:numId w:val="2"/>
        </w:numPr>
        <w:spacing w:after="58" w:line="266"/>
      </w:pPr>
      <w:r>
        <w:rPr>
          <w:b/>
          <w:bCs/>
        </w:rPr>
        <w:t xml:space="preserve">International/toll-free rate metering and fax-per-page </w:t>
      </w:r>
      <w:r>
        <w:t xml:space="preserve">— extends the existing usage engine rather than building something new.</w:t>
      </w:r>
    </w:p>
    <w:p>
      <w:pPr>
        <w:pStyle w:val="ListParagraph"/>
        <w:numPr>
          <w:ilvl w:val="0"/>
          <w:numId w:val="2"/>
        </w:numPr>
        <w:spacing w:after="58" w:line="266"/>
      </w:pPr>
      <w:r>
        <w:rPr>
          <w:b/>
          <w:bCs/>
        </w:rPr>
        <w:t xml:space="preserve">Card micro-verification, license pools, flex licenses, invoiced billing </w:t>
      </w:r>
      <w:r>
        <w:t xml:space="preserve">— larger, more speculative builds; worth doing only if a specific customer or fraud problem demands them.</w:t>
      </w:r>
    </w:p>
    <w:p>
      <w:r>
        <w:br w:type="page"/>
      </w:r>
    </w:p>
    <w:p>
      <w:pPr>
        <w:pStyle w:val="Heading1"/>
        <w:spacing w:after="110" w:before="300"/>
      </w:pPr>
      <w:r>
        <w:t xml:space="preserve">12. Appendix — everything in Dialpad's billing documentation</w:t>
      </w:r>
    </w:p>
    <w:p>
      <w:pPr>
        <w:spacing w:after="120" w:line="288"/>
      </w:pPr>
      <w:r>
        <w:t xml:space="preserve">A complete, standalone inventory of what Dialpad's billing system includes — every one of the 23 billing-related help articles Dialpad publishes has been read for this section, so nothing in their documented billing surface is left out. Independent of the comparison above; for reference.</w:t>
      </w:r>
    </w:p>
    <w:p>
      <w:pPr>
        <w:pStyle w:val="Heading2"/>
        <w:spacing w:after="75" w:before="190"/>
      </w:pPr>
      <w:r>
        <w:t xml:space="preserve">12.1 Billing summary &amp; invoices</w:t>
      </w:r>
    </w:p>
    <w:p>
      <w:pPr>
        <w:pStyle w:val="ListParagraph"/>
        <w:numPr>
          <w:ilvl w:val="0"/>
          <w:numId w:val="2"/>
        </w:numPr>
        <w:spacing w:after="58" w:line="266"/>
      </w:pPr>
      <w:r>
        <w:t xml:space="preserve">Billing tab showing current plan, billing period, next bill date, licenses, add-ons, promotions, and payment details on file.</w:t>
      </w:r>
    </w:p>
    <w:p>
      <w:pPr>
        <w:pStyle w:val="ListParagraph"/>
        <w:numPr>
          <w:ilvl w:val="0"/>
          <w:numId w:val="2"/>
        </w:numPr>
        <w:spacing w:after="58" w:line="266"/>
      </w:pPr>
      <w:r>
        <w:t xml:space="preserve">Card-on-file display for credit-card billing; billing-contact details shown instead for term/invoiced accounts.</w:t>
      </w:r>
    </w:p>
    <w:p>
      <w:pPr>
        <w:pStyle w:val="ListParagraph"/>
        <w:numPr>
          <w:ilvl w:val="0"/>
          <w:numId w:val="2"/>
        </w:numPr>
        <w:spacing w:after="58" w:line="266"/>
      </w:pPr>
      <w:r>
        <w:t xml:space="preserve">Invoice History tab: date, amount, status (paid or owing), description, and a notes field admins can add to (visible to both the company and Dialpad).</w:t>
      </w:r>
    </w:p>
    <w:p>
      <w:pPr>
        <w:pStyle w:val="ListParagraph"/>
        <w:numPr>
          <w:ilvl w:val="0"/>
          <w:numId w:val="2"/>
        </w:numPr>
        <w:spacing w:after="58" w:line="266"/>
      </w:pPr>
      <w:r>
        <w:t xml:space="preserve">Two invoice views — Summary (overview of charges) and Details (full line-item breakdown) — plus an official PDF download.</w:t>
      </w:r>
    </w:p>
    <w:p>
      <w:pPr>
        <w:pStyle w:val="ListParagraph"/>
        <w:numPr>
          <w:ilvl w:val="0"/>
          <w:numId w:val="2"/>
        </w:numPr>
        <w:spacing w:after="58" w:line="266"/>
      </w:pPr>
      <w:r>
        <w:t xml:space="preserve">Term invoices (for contracted accounts) show account charges, adjustments/credits, taxes &amp; fees, and mid-cycle line changes.</w:t>
      </w:r>
    </w:p>
    <w:p>
      <w:pPr>
        <w:pStyle w:val="ListParagraph"/>
        <w:numPr>
          <w:ilvl w:val="0"/>
          <w:numId w:val="2"/>
        </w:numPr>
        <w:spacing w:after="58" w:line="266"/>
      </w:pPr>
      <w:r>
        <w:t xml:space="preserve">Credit-card invoices show a Billing Summary block (total balance due, due date, credits applied, total tax) plus user-license breakdown, linked add-ons, and other adjustments/credits.</w:t>
      </w:r>
    </w:p>
    <w:p>
      <w:pPr>
        <w:pStyle w:val="ListParagraph"/>
        <w:numPr>
          <w:ilvl w:val="0"/>
          <w:numId w:val="2"/>
        </w:numPr>
        <w:spacing w:after="58" w:line="266"/>
      </w:pPr>
      <w:r>
        <w:t xml:space="preserve">Customers can update card details/expiration directly from the invoice screen.</w:t>
      </w:r>
    </w:p>
    <w:p>
      <w:pPr>
        <w:pStyle w:val="Heading2"/>
        <w:spacing w:after="75" w:before="190"/>
      </w:pPr>
      <w:r>
        <w:t xml:space="preserve">12.2 Licenses &amp; plans</w:t>
      </w:r>
    </w:p>
    <w:p>
      <w:pPr>
        <w:pStyle w:val="ListParagraph"/>
        <w:numPr>
          <w:ilvl w:val="0"/>
          <w:numId w:val="2"/>
        </w:numPr>
        <w:spacing w:after="58" w:line="266"/>
      </w:pPr>
      <w:r>
        <w:t xml:space="preserve">Buy licenses from three places (Company Settings, Billing menu, or Office settings); purchase mid-cycle with proration to the next billing cycle.</w:t>
      </w:r>
    </w:p>
    <w:p>
      <w:pPr>
        <w:pStyle w:val="ListParagraph"/>
        <w:numPr>
          <w:ilvl w:val="0"/>
          <w:numId w:val="2"/>
        </w:numPr>
        <w:spacing w:after="58" w:line="266"/>
      </w:pPr>
      <w:r>
        <w:t xml:space="preserve">Licenses assign to more than just people — user accounts, room phones, shared lines (departments/contact centers), and fax numbers.</w:t>
      </w:r>
    </w:p>
    <w:p>
      <w:pPr>
        <w:pStyle w:val="ListParagraph"/>
        <w:numPr>
          <w:ilvl w:val="0"/>
          <w:numId w:val="2"/>
        </w:numPr>
        <w:spacing w:after="58" w:line="266"/>
      </w:pPr>
      <w:r>
        <w:t xml:space="preserve">Licenses can be transferred to another user.</w:t>
      </w:r>
    </w:p>
    <w:p>
      <w:pPr>
        <w:pStyle w:val="ListParagraph"/>
        <w:numPr>
          <w:ilvl w:val="0"/>
          <w:numId w:val="2"/>
        </w:numPr>
        <w:spacing w:after="58" w:line="266"/>
      </w:pPr>
      <w:r>
        <w:t xml:space="preserve">Scheduled removal — a removed license stays active (and billed) until the end of the current cycle, and the removal can be cancelled before then.</w:t>
      </w:r>
    </w:p>
    <w:p>
      <w:pPr>
        <w:pStyle w:val="ListParagraph"/>
        <w:numPr>
          <w:ilvl w:val="0"/>
          <w:numId w:val="2"/>
        </w:numPr>
        <w:spacing w:after="58" w:line="266"/>
      </w:pPr>
      <w:r>
        <w:t xml:space="preserve">Dialpad bills for every purchased license even if it's unassigned and unused.</w:t>
      </w:r>
    </w:p>
    <w:p>
      <w:pPr>
        <w:pStyle w:val="ListParagraph"/>
        <w:numPr>
          <w:ilvl w:val="0"/>
          <w:numId w:val="2"/>
        </w:numPr>
        <w:spacing w:after="58" w:line="266"/>
      </w:pPr>
      <w:r>
        <w:t xml:space="preserve">License Pools — one pool per billing currency; unassigned licenses are shared automatically across every office in the company that bills in that currency, instead of each office buying separately. A license is billed once, either to the office using it or to the shared pool.</w:t>
      </w:r>
    </w:p>
    <w:p>
      <w:pPr>
        <w:pStyle w:val="ListParagraph"/>
        <w:numPr>
          <w:ilvl w:val="0"/>
          <w:numId w:val="2"/>
        </w:numPr>
        <w:spacing w:after="58" w:line="266"/>
      </w:pPr>
      <w:r>
        <w:t xml:space="preserve">Flex Licenses — instant self-service licenses with no long-term contract, for temporary/seasonal/pilot needs; billed monthly at standard list price, prorated to the day, shown as their own invoice line. No refunds for early removal. (Contracted licenses are the alternative: annual/term, need an Account Executive, usually better pricing.)</w:t>
      </w:r>
    </w:p>
    <w:p>
      <w:pPr>
        <w:pStyle w:val="ListParagraph"/>
        <w:numPr>
          <w:ilvl w:val="0"/>
          <w:numId w:val="2"/>
        </w:numPr>
        <w:spacing w:after="58" w:line="266"/>
      </w:pPr>
      <w:r>
        <w:t xml:space="preserve">Downgrading a plan requires contacting Customer Care rather than self-service; license counts are viewable in Admin Settings → Office Settings → Licenses.</w:t>
      </w:r>
    </w:p>
    <w:p>
      <w:pPr>
        <w:pStyle w:val="ListParagraph"/>
        <w:numPr>
          <w:ilvl w:val="0"/>
          <w:numId w:val="2"/>
        </w:numPr>
        <w:spacing w:after="58" w:line="266"/>
      </w:pPr>
      <w:r>
        <w:t xml:space="preserve">Switching billing model — contract to credit card, or credit card to contract — requires a Sales or Customer Success Manager; it isn't a self-service toggle either direction.</w:t>
      </w:r>
    </w:p>
    <w:p>
      <w:pPr>
        <w:pStyle w:val="Heading2"/>
        <w:spacing w:after="75" w:before="190"/>
      </w:pPr>
      <w:r>
        <w:t xml:space="preserve">12.3 Add-ons — named, with real numbers</w:t>
      </w:r>
    </w:p>
    <w:p>
      <w:pPr>
        <w:pStyle w:val="ListParagraph"/>
        <w:numPr>
          <w:ilvl w:val="0"/>
          <w:numId w:val="2"/>
        </w:numPr>
        <w:spacing w:after="58" w:line="266"/>
      </w:pPr>
      <w:r>
        <w:t xml:space="preserve">Business Intelligence, Coaching Teams, AI CSAT — purchased by an Office/Company Admin directly in the portal (Office → Licenses → Preferred Add-ons); removal requires contacting Customer Care.</w:t>
      </w:r>
    </w:p>
    <w:p>
      <w:pPr>
        <w:pStyle w:val="ListParagraph"/>
        <w:numPr>
          <w:ilvl w:val="0"/>
          <w:numId w:val="2"/>
        </w:numPr>
        <w:spacing w:after="58" w:line="266"/>
      </w:pPr>
      <w:r>
        <w:rPr>
          <w:b/>
          <w:bCs/>
        </w:rPr>
        <w:t xml:space="preserve">Global Unlimited Calling add-on: </w:t>
      </w:r>
      <w:r>
        <w:t xml:space="preserve">covers outbound calls to 65 countries, 8,000 international minutes per month per license, office/company-wide only (not per-user). Once the 8,000 minutes are used, overage is billed per minute at published rates ($0.01–$0.10/min depending on destination); unused minutes do not roll over. Auto-recharge is explicitly recommended so calls don't fail when minutes run out. Available on Connect, Sell, and Support plans.</w:t>
      </w:r>
    </w:p>
    <w:p>
      <w:pPr>
        <w:pStyle w:val="ListParagraph"/>
        <w:numPr>
          <w:ilvl w:val="0"/>
          <w:numId w:val="2"/>
        </w:numPr>
        <w:spacing w:after="58" w:line="266"/>
      </w:pPr>
      <w:r>
        <w:rPr>
          <w:b/>
          <w:bCs/>
        </w:rPr>
        <w:t xml:space="preserve">Unlimited Domestic Calling add-on: </w:t>
      </w:r>
      <w:r>
        <w:t xml:space="preserve">covers inbound + outbound domestic calls (plus US–Canada, Australia–New Zealand, US–Puerto Rico, and within-Great-Britain as "domestic"), 3,000 minutes per month per license under a fair-use policy. Excludes toll-free inbound, international, and messaging. Applies to all Contact Center users in an office. Available on Support and Sell only — not Connect, since Connect already includes free domestic calling.</w:t>
      </w:r>
    </w:p>
    <w:p>
      <w:pPr>
        <w:pStyle w:val="Heading2"/>
        <w:spacing w:after="75" w:before="190"/>
      </w:pPr>
      <w:r>
        <w:t xml:space="preserve">12.4 Usage-based credits &amp; metering</w:t>
      </w:r>
    </w:p>
    <w:p>
      <w:pPr>
        <w:pStyle w:val="ListParagraph"/>
        <w:numPr>
          <w:ilvl w:val="0"/>
          <w:numId w:val="2"/>
        </w:numPr>
        <w:spacing w:after="58" w:line="266"/>
      </w:pPr>
      <w:r>
        <w:t xml:space="preserve">Covers calling, toll-free, messaging, fax, AI Agent conversations, and routing services.</w:t>
      </w:r>
    </w:p>
    <w:p>
      <w:pPr>
        <w:pStyle w:val="ListParagraph"/>
        <w:numPr>
          <w:ilvl w:val="0"/>
          <w:numId w:val="2"/>
        </w:numPr>
        <w:spacing w:after="58" w:line="266"/>
      </w:pPr>
      <w:r>
        <w:t xml:space="preserve">Calls billed per minute at a rate that varies by destination (domestic / international / toll-free).</w:t>
      </w:r>
    </w:p>
    <w:p>
      <w:pPr>
        <w:pStyle w:val="ListParagraph"/>
        <w:numPr>
          <w:ilvl w:val="0"/>
          <w:numId w:val="2"/>
        </w:numPr>
        <w:spacing w:after="58" w:line="266"/>
      </w:pPr>
      <w:r>
        <w:t xml:space="preserve">SMS/MMS billed per message segment — a standard segment is 160 characters, or 70 for Unicode (emoji/non-Latin) text.</w:t>
      </w:r>
    </w:p>
    <w:p>
      <w:pPr>
        <w:pStyle w:val="ListParagraph"/>
        <w:numPr>
          <w:ilvl w:val="0"/>
          <w:numId w:val="2"/>
        </w:numPr>
        <w:spacing w:after="58" w:line="266"/>
      </w:pPr>
      <w:r>
        <w:t xml:space="preserve">Fax billed per page.</w:t>
      </w:r>
    </w:p>
    <w:p>
      <w:pPr>
        <w:pStyle w:val="ListParagraph"/>
        <w:numPr>
          <w:ilvl w:val="0"/>
          <w:numId w:val="2"/>
        </w:numPr>
        <w:spacing w:after="58" w:line="266"/>
      </w:pPr>
      <w:r>
        <w:t xml:space="preserve">AI Agent usage metered by conversation duration and number of sessions.</w:t>
      </w:r>
    </w:p>
    <w:p>
      <w:pPr>
        <w:pStyle w:val="ListParagraph"/>
        <w:numPr>
          <w:ilvl w:val="0"/>
          <w:numId w:val="2"/>
        </w:numPr>
        <w:spacing w:after="58" w:line="266"/>
      </w:pPr>
      <w:r>
        <w:t xml:space="preserve">A defined spending order: plan allowance is drawn down first, then a matching commitment wallet, then an overflow "Dialpad Credits" pool.</w:t>
      </w:r>
    </w:p>
    <w:p>
      <w:pPr>
        <w:pStyle w:val="ListParagraph"/>
        <w:numPr>
          <w:ilvl w:val="0"/>
          <w:numId w:val="2"/>
        </w:numPr>
        <w:spacing w:after="58" w:line="266"/>
      </w:pPr>
      <w:r>
        <w:t xml:space="preserve">Spending-change alerts that flag the main cause when spend noticeably shifts.</w:t>
      </w:r>
    </w:p>
    <w:p>
      <w:pPr>
        <w:pStyle w:val="ListParagraph"/>
        <w:numPr>
          <w:ilvl w:val="0"/>
          <w:numId w:val="2"/>
        </w:numPr>
        <w:spacing w:after="58" w:line="266"/>
      </w:pPr>
      <w:r>
        <w:t xml:space="preserve">Auto top-up: triggers when balance drops below $5 (admin-configurable trigger and refill amount), charges the card on file automatically.</w:t>
      </w:r>
    </w:p>
    <w:p>
      <w:pPr>
        <w:pStyle w:val="ListParagraph"/>
        <w:numPr>
          <w:ilvl w:val="0"/>
          <w:numId w:val="2"/>
        </w:numPr>
        <w:spacing w:after="58" w:line="266"/>
      </w:pPr>
      <w:r>
        <w:t xml:space="preserve">Detailed per-usage records — user/group, timestamp, phone number, call type, duration, which wallet paid, cost, and the rate applied — exportable as CSV for a chosen date range.</w:t>
      </w:r>
    </w:p>
    <w:p>
      <w:pPr>
        <w:pStyle w:val="ListParagraph"/>
        <w:numPr>
          <w:ilvl w:val="0"/>
          <w:numId w:val="2"/>
        </w:numPr>
        <w:spacing w:after="58" w:line="266"/>
      </w:pPr>
      <w:r>
        <w:rPr>
          <w:b/>
          <w:bCs/>
        </w:rPr>
        <w:t xml:space="preserve">AI Agent Conversation Credits: </w:t>
      </w:r>
      <w:r>
        <w:t xml:space="preserve">purely usage-based — a charge only happens when the AI agent actually responds. A voice session bills when there's at least one customer-agent exchange with a customer response, the agent performs a lookup/task at least once, and the session closes (timeout, hangup, transfer, or agent end); digital sessions follow the same pattern. A conversation is billed even if it ends in a transfer to a human, as long as a skill was called. Non-billable: sessions with no customer response, no task performed, or never closed. Alerts fire at 80% and 90% usage (email warning) and 100% (balance-empty notice with auto-recharge status); admins can pause/remove underperforming AI agents or adjust recharge amounts from the alert.</w:t>
      </w:r>
    </w:p>
    <w:p>
      <w:pPr>
        <w:pStyle w:val="Heading2"/>
        <w:spacing w:after="75" w:before="190"/>
      </w:pPr>
      <w:r>
        <w:t xml:space="preserve">12.4b Unified Credit Pool — a separate concept from License Pools</w:t>
      </w:r>
    </w:p>
    <w:p>
      <w:pPr>
        <w:spacing w:after="120" w:line="288"/>
      </w:pPr>
      <w:r>
        <w:t xml:space="preserve">Distinct from the license pool in §10.2: this pools usage credits (money), not licenses (seats), across offices.</w:t>
      </w:r>
    </w:p>
    <w:p>
      <w:pPr>
        <w:pStyle w:val="ListParagraph"/>
        <w:numPr>
          <w:ilvl w:val="0"/>
          <w:numId w:val="2"/>
        </w:numPr>
        <w:spacing w:after="58" w:line="266"/>
      </w:pPr>
      <w:r>
        <w:t xml:space="preserve">Each office draws down its own plan allowance first; only the excess draws from one shared company-wide credit pool, instead of every office needing its own overage balance.</w:t>
      </w:r>
    </w:p>
    <w:p>
      <w:pPr>
        <w:pStyle w:val="ListParagraph"/>
        <w:numPr>
          <w:ilvl w:val="0"/>
          <w:numId w:val="2"/>
        </w:numPr>
        <w:spacing w:after="58" w:line="266"/>
      </w:pPr>
      <w:r>
        <w:t xml:space="preserve">Office-level usage is still tracked and attributed even though the balance itself is shared — so admins can see which office drove which charge.</w:t>
      </w:r>
    </w:p>
    <w:p>
      <w:pPr>
        <w:pStyle w:val="ListParagraph"/>
        <w:numPr>
          <w:ilvl w:val="0"/>
          <w:numId w:val="2"/>
        </w:numPr>
        <w:spacing w:after="58" w:line="266"/>
      </w:pPr>
      <w:r>
        <w:t xml:space="preserve">Available on all plans; needs Dialpad Customer Care to activate. Managed after that by Company or Office Admins.</w:t>
      </w:r>
    </w:p>
    <w:p>
      <w:pPr>
        <w:pStyle w:val="ListParagraph"/>
        <w:numPr>
          <w:ilvl w:val="0"/>
          <w:numId w:val="2"/>
        </w:numPr>
        <w:spacing w:after="58" w:line="266"/>
      </w:pPr>
      <w:r>
        <w:t xml:space="preserve">Trade-off made explicit in the docs: heavy usage in one office can reduce what's left for the others, since it's one shared balance.</w:t>
      </w:r>
    </w:p>
    <w:p>
      <w:pPr>
        <w:pStyle w:val="ListParagraph"/>
        <w:numPr>
          <w:ilvl w:val="0"/>
          <w:numId w:val="2"/>
        </w:numPr>
        <w:spacing w:after="58" w:line="266"/>
      </w:pPr>
      <w:r>
        <w:t xml:space="preserve">AI Agent Conversation Credits are excluded from the pool — they stay assigned to the primary office only. No other office settings, plans, add-ons, or workflows change when this is turned on.</w:t>
      </w:r>
    </w:p>
    <w:p>
      <w:pPr>
        <w:pStyle w:val="Heading2"/>
        <w:spacing w:after="75" w:before="190"/>
      </w:pPr>
      <w:r>
        <w:t xml:space="preserve">12.5 Credits analytics dashboard</w:t>
      </w:r>
    </w:p>
    <w:p>
      <w:pPr>
        <w:pStyle w:val="ListParagraph"/>
        <w:numPr>
          <w:ilvl w:val="0"/>
          <w:numId w:val="2"/>
        </w:numPr>
        <w:spacing w:after="58" w:line="266"/>
      </w:pPr>
      <w:r>
        <w:t xml:space="preserve">Reached via Billing → Credits and Usage; available to Office and Company Admins.</w:t>
      </w:r>
    </w:p>
    <w:p>
      <w:pPr>
        <w:pStyle w:val="ListParagraph"/>
        <w:numPr>
          <w:ilvl w:val="0"/>
          <w:numId w:val="2"/>
        </w:numPr>
        <w:spacing w:after="58" w:line="266"/>
      </w:pPr>
      <w:r>
        <w:t xml:space="preserve">Date-range filter: this month, last month, last 3 months, last 6 months.</w:t>
      </w:r>
    </w:p>
    <w:p>
      <w:pPr>
        <w:pStyle w:val="ListParagraph"/>
        <w:numPr>
          <w:ilvl w:val="0"/>
          <w:numId w:val="2"/>
        </w:numPr>
        <w:spacing w:after="58" w:line="266"/>
      </w:pPr>
      <w:r>
        <w:t xml:space="preserve">Service filter: all / calls / fax / messaging / agentic digital / agentic voice / omnichannel / speech IVR.</w:t>
      </w:r>
    </w:p>
    <w:p>
      <w:pPr>
        <w:pStyle w:val="ListParagraph"/>
        <w:numPr>
          <w:ilvl w:val="0"/>
          <w:numId w:val="2"/>
        </w:numPr>
        <w:spacing w:after="58" w:line="266"/>
      </w:pPr>
      <w:r>
        <w:t xml:space="preserve">Subtype filter: all / domestic / international / toll-free / CC inbound / CC outbound.</w:t>
      </w:r>
    </w:p>
    <w:p>
      <w:pPr>
        <w:pStyle w:val="ListParagraph"/>
        <w:numPr>
          <w:ilvl w:val="0"/>
          <w:numId w:val="2"/>
        </w:numPr>
        <w:spacing w:after="58" w:line="266"/>
      </w:pPr>
      <w:r>
        <w:t xml:space="preserve">Views: credit consumption trends, transaction-level detail, "top service for the month," daily spending pattern, per-service spend totals.</w:t>
      </w:r>
    </w:p>
    <w:p>
      <w:pPr>
        <w:pStyle w:val="ListParagraph"/>
        <w:numPr>
          <w:ilvl w:val="0"/>
          <w:numId w:val="2"/>
        </w:numPr>
        <w:spacing w:after="58" w:line="266"/>
      </w:pPr>
      <w:r>
        <w:t xml:space="preserve">Export to CSV or Excel, preserving whatever columns and column order were set on screen.</w:t>
      </w:r>
    </w:p>
    <w:p>
      <w:pPr>
        <w:pStyle w:val="Heading2"/>
        <w:spacing w:after="75" w:before="190"/>
      </w:pPr>
      <w:r>
        <w:t xml:space="preserve">12.6 Cost centers</w:t>
      </w:r>
    </w:p>
    <w:p>
      <w:pPr>
        <w:pStyle w:val="ListParagraph"/>
        <w:numPr>
          <w:ilvl w:val="0"/>
          <w:numId w:val="2"/>
        </w:numPr>
        <w:spacing w:after="58" w:line="266"/>
      </w:pPr>
      <w:r>
        <w:t xml:space="preserve">Metadata tags for internal cost reporting — do not change actual invoice totals, taxes, billing entities, or billing workflow.</w:t>
      </w:r>
    </w:p>
    <w:p>
      <w:pPr>
        <w:pStyle w:val="ListParagraph"/>
        <w:numPr>
          <w:ilvl w:val="0"/>
          <w:numId w:val="2"/>
        </w:numPr>
        <w:spacing w:after="58" w:line="266"/>
      </w:pPr>
      <w:r>
        <w:t xml:space="preserve">Each has a code (≤20 chars, alphanumeric/hyphen/underscore, auto-uppercased), a display name, an optional external ERP/GL reference, and a status.</w:t>
      </w:r>
    </w:p>
    <w:p>
      <w:pPr>
        <w:pStyle w:val="ListParagraph"/>
        <w:numPr>
          <w:ilvl w:val="0"/>
          <w:numId w:val="2"/>
        </w:numPr>
        <w:spacing w:after="58" w:line="266"/>
      </w:pPr>
      <w:r>
        <w:t xml:space="preserve">Spend allocated by percentage at office, user, or license level; allocations for one item must total exactly 100%; up to 10 cost centers per item.</w:t>
      </w:r>
    </w:p>
    <w:p>
      <w:pPr>
        <w:pStyle w:val="ListParagraph"/>
        <w:numPr>
          <w:ilvl w:val="0"/>
          <w:numId w:val="2"/>
        </w:numPr>
        <w:spacing w:after="58" w:line="266"/>
      </w:pPr>
      <w:r>
        <w:t xml:space="preserve">Precedence when more than one allocation applies: user, then license, then office.</w:t>
      </w:r>
    </w:p>
    <w:p>
      <w:pPr>
        <w:pStyle w:val="ListParagraph"/>
        <w:numPr>
          <w:ilvl w:val="0"/>
          <w:numId w:val="2"/>
        </w:numPr>
        <w:spacing w:after="58" w:line="266"/>
      </w:pPr>
      <w:r>
        <w:t xml:space="preserve">Centers can be archived (stay visible in historical reports, can't be used for new allocations) and reactivated.</w:t>
      </w:r>
    </w:p>
    <w:p>
      <w:pPr>
        <w:pStyle w:val="ListParagraph"/>
        <w:numPr>
          <w:ilvl w:val="0"/>
          <w:numId w:val="2"/>
        </w:numPr>
        <w:spacing w:after="58" w:line="266"/>
      </w:pPr>
      <w:r>
        <w:t xml:space="preserve">Three CSV report types — office allocation summary, license allocation detail, user allocation detail — emailed to whoever requested them.</w:t>
      </w:r>
    </w:p>
    <w:p>
      <w:pPr>
        <w:pStyle w:val="ListParagraph"/>
        <w:numPr>
          <w:ilvl w:val="0"/>
          <w:numId w:val="2"/>
        </w:numPr>
        <w:spacing w:after="58" w:line="266"/>
      </w:pPr>
      <w:r>
        <w:t xml:space="preserve">Managed by Admins and Billing Managers on any plan/tier; bulk-assign up to 100 users at once.</w:t>
      </w:r>
    </w:p>
    <w:p>
      <w:pPr>
        <w:pStyle w:val="Heading2"/>
        <w:spacing w:after="75" w:before="190"/>
      </w:pPr>
      <w:r>
        <w:t xml:space="preserve">12.7 Payment &amp; verification</w:t>
      </w:r>
    </w:p>
    <w:p>
      <w:pPr>
        <w:pStyle w:val="ListParagraph"/>
        <w:numPr>
          <w:ilvl w:val="0"/>
          <w:numId w:val="2"/>
        </w:numPr>
        <w:spacing w:after="58" w:line="266"/>
      </w:pPr>
      <w:r>
        <w:t xml:space="preserve">Accepted cards: Visa, Mastercard, Discover, American Express, and debit cards carrying those logos. Prepaid cards are not accepted.</w:t>
      </w:r>
    </w:p>
    <w:p>
      <w:pPr>
        <w:pStyle w:val="ListParagraph"/>
        <w:numPr>
          <w:ilvl w:val="0"/>
          <w:numId w:val="2"/>
        </w:numPr>
        <w:spacing w:after="58" w:line="266"/>
      </w:pPr>
      <w:r>
        <w:t xml:space="preserve">Postal code and CVV verification required on every card, in every state/country.</w:t>
      </w:r>
    </w:p>
    <w:p>
      <w:pPr>
        <w:pStyle w:val="ListParagraph"/>
        <w:numPr>
          <w:ilvl w:val="0"/>
          <w:numId w:val="2"/>
        </w:numPr>
        <w:spacing w:after="58" w:line="266"/>
      </w:pPr>
      <w:r>
        <w:t xml:space="preserve">Check and wire transfer are available but require a signed service order.</w:t>
      </w:r>
    </w:p>
    <w:p>
      <w:pPr>
        <w:pStyle w:val="ListParagraph"/>
        <w:numPr>
          <w:ilvl w:val="0"/>
          <w:numId w:val="2"/>
        </w:numPr>
        <w:spacing w:after="58" w:line="266"/>
      </w:pPr>
      <w:r>
        <w:t xml:space="preserve">Credit-card micro-verification: a small test charge appears on the statement; the customer enters the last 4 digits of the card and the exact charge amount, with two attempts before the account locks (support has to unlock it). The verification charge auto-refunds within 14 days regardless of outcome. The payment method can't be changed once verification starts.</w:t>
      </w:r>
    </w:p>
    <w:p>
      <w:pPr>
        <w:pStyle w:val="ListParagraph"/>
        <w:numPr>
          <w:ilvl w:val="0"/>
          <w:numId w:val="2"/>
        </w:numPr>
        <w:spacing w:after="58" w:line="266"/>
      </w:pPr>
      <w:r>
        <w:t xml:space="preserve">Mid-cycle upgrades (monthly→annual, Standard→Pro) are supported with prorated charges; annual switches bill the full 12 months up front, with total annual tax/fees shown on the next bill. Upgrading out of a free trial on a credit card charges immediately, not at the next bill date.</w:t>
      </w:r>
    </w:p>
    <w:p>
      <w:pPr>
        <w:pStyle w:val="Heading2"/>
        <w:spacing w:after="75" w:before="190"/>
      </w:pPr>
      <w:r>
        <w:t xml:space="preserve">12.8 Account status: on-hold &amp; suspended</w:t>
      </w:r>
    </w:p>
    <w:p>
      <w:pPr>
        <w:pStyle w:val="ListParagraph"/>
        <w:numPr>
          <w:ilvl w:val="0"/>
          <w:numId w:val="2"/>
        </w:numPr>
        <w:spacing w:after="58" w:line="266"/>
      </w:pPr>
      <w:r>
        <w:t xml:space="preserve">On-hold: triggered by a failed payment; service keeps working; admin gets an email, IVR reminders may play at the start of calls, and an in-app banner appears. Resolved by updating payment info — the system retries automatically.</w:t>
      </w:r>
    </w:p>
    <w:p>
      <w:pPr>
        <w:pStyle w:val="ListParagraph"/>
        <w:numPr>
          <w:ilvl w:val="0"/>
          <w:numId w:val="2"/>
        </w:numPr>
        <w:spacing w:after="58" w:line="266"/>
      </w:pPr>
      <w:r>
        <w:t xml:space="preserve">Suspended: unresolved on-hold escalates here; phone lines stop working entirely, callers hear a payment-required message, admin gets a suspension IVR notice. Resolved by updating payment details and then contacting Customer Care to reinstate.</w:t>
      </w:r>
    </w:p>
    <w:p>
      <w:pPr>
        <w:pStyle w:val="Heading2"/>
        <w:spacing w:after="75" w:before="190"/>
      </w:pPr>
      <w:r>
        <w:t xml:space="preserve">12.9 Cancellation &amp; refunds</w:t>
      </w:r>
    </w:p>
    <w:p>
      <w:pPr>
        <w:pStyle w:val="ListParagraph"/>
        <w:numPr>
          <w:ilvl w:val="0"/>
          <w:numId w:val="2"/>
        </w:numPr>
        <w:spacing w:after="58" w:line="266"/>
      </w:pPr>
      <w:r>
        <w:rPr>
          <w:b/>
          <w:bCs/>
        </w:rPr>
        <w:t xml:space="preserve">Who can self-cancel: </w:t>
      </w:r>
      <w:r>
        <w:t xml:space="preserve">free trial users and month-to-month subscribers with 10 licenses or fewer, directly in Admin Settings → Billing Summary. Annual-plan subscribers and accounts with more than 10 licenses must contact the Customer Success Team instead — cancellation is not self-service for them.</w:t>
      </w:r>
    </w:p>
    <w:p>
      <w:pPr>
        <w:pStyle w:val="ListParagraph"/>
        <w:numPr>
          <w:ilvl w:val="0"/>
          <w:numId w:val="2"/>
        </w:numPr>
        <w:spacing w:after="58" w:line="266"/>
      </w:pPr>
      <w:r>
        <w:t xml:space="preserve">Refunds available only within 3 days of the original transaction, for both monthly and annual plans. After 3 days, no refunds regardless of billing cycle length.</w:t>
      </w:r>
    </w:p>
    <w:p>
      <w:pPr>
        <w:pStyle w:val="ListParagraph"/>
        <w:numPr>
          <w:ilvl w:val="0"/>
          <w:numId w:val="2"/>
        </w:numPr>
        <w:spacing w:after="58" w:line="266"/>
      </w:pPr>
      <w:r>
        <w:t xml:space="preserve">Annual plans never qualify for a refund, even with months remaining, because the annual price is already discounted.</w:t>
      </w:r>
    </w:p>
    <w:p>
      <w:pPr>
        <w:pStyle w:val="ListParagraph"/>
        <w:numPr>
          <w:ilvl w:val="0"/>
          <w:numId w:val="2"/>
        </w:numPr>
        <w:spacing w:after="58" w:line="266"/>
      </w:pPr>
      <w:r>
        <w:t xml:space="preserve">Unused licenses are non-refundable per the Terms of Service (mistaken purchases can still be raised with support within the 3-day window).</w:t>
      </w:r>
    </w:p>
    <w:p>
      <w:pPr>
        <w:pStyle w:val="ListParagraph"/>
        <w:numPr>
          <w:ilvl w:val="0"/>
          <w:numId w:val="2"/>
        </w:numPr>
        <w:spacing w:after="58" w:line="266"/>
      </w:pPr>
      <w:r>
        <w:t xml:space="preserve">On cancellation, all unused calling credits and international calling credits expire on the termination date — no prorations or transfers.</w:t>
      </w:r>
    </w:p>
    <w:p>
      <w:pPr>
        <w:pStyle w:val="ListParagraph"/>
        <w:numPr>
          <w:ilvl w:val="0"/>
          <w:numId w:val="2"/>
        </w:numPr>
        <w:spacing w:after="58" w:line="266"/>
      </w:pPr>
      <w:r>
        <w:t xml:space="preserve">An accidentally deleted account can be reported to support for possible recovery, but restoration is never guaranteed.</w:t>
      </w:r>
    </w:p>
    <w:p>
      <w:pPr>
        <w:pStyle w:val="Heading2"/>
        <w:spacing w:after="75" w:before="190"/>
      </w:pPr>
      <w:r>
        <w:t xml:space="preserve">12.10 Taxes &amp; fees</w:t>
      </w:r>
    </w:p>
    <w:p>
      <w:pPr>
        <w:pStyle w:val="ListParagraph"/>
        <w:numPr>
          <w:ilvl w:val="0"/>
          <w:numId w:val="2"/>
        </w:numPr>
        <w:spacing w:after="58" w:line="266"/>
      </w:pPr>
      <w:r>
        <w:t xml:space="preserve">Federally and state-mandated taxes that change based on local legislation; sales tax applies in some jurisdictions; telecom-specific taxes are assessed separately.</w:t>
      </w:r>
    </w:p>
    <w:p>
      <w:pPr>
        <w:pStyle w:val="ListParagraph"/>
        <w:numPr>
          <w:ilvl w:val="0"/>
          <w:numId w:val="2"/>
        </w:numPr>
        <w:spacing w:after="58" w:line="266"/>
      </w:pPr>
      <w:r>
        <w:t xml:space="preserve">Tax-exempt status requires an official state sales/use tax exemption certificate — a 501(c)(3) letter alone is not sufficient.</w:t>
      </w:r>
    </w:p>
    <w:p>
      <w:pPr>
        <w:pStyle w:val="ListParagraph"/>
        <w:numPr>
          <w:ilvl w:val="0"/>
          <w:numId w:val="2"/>
        </w:numPr>
        <w:spacing w:after="58" w:line="266"/>
      </w:pPr>
      <w:r>
        <w:t xml:space="preserve">International calls incur per-minute fees based on the destination country, on top of the domestic plan allowance.</w:t>
      </w:r>
    </w:p>
    <w:p>
      <w:pPr>
        <w:pStyle w:val="Heading2"/>
        <w:spacing w:after="75" w:before="190"/>
      </w:pPr>
      <w:r>
        <w:t xml:space="preserve">12.11 Meetings billing — a separate product, billed on its own</w:t>
      </w:r>
    </w:p>
    <w:p>
      <w:pPr>
        <w:spacing w:after="120" w:line="288"/>
      </w:pPr>
      <w:r>
        <w:t xml:space="preserve">Dialpad Meetings is billed as its own surface, distinct from the phone-system plans covered above.</w:t>
      </w:r>
    </w:p>
    <w:p>
      <w:pPr>
        <w:pStyle w:val="ListParagraph"/>
        <w:numPr>
          <w:ilvl w:val="0"/>
          <w:numId w:val="2"/>
        </w:numPr>
        <w:spacing w:after="58" w:line="266"/>
      </w:pPr>
      <w:r>
        <w:rPr>
          <w:b/>
          <w:bCs/>
        </w:rPr>
        <w:t xml:space="preserve">Tiers: </w:t>
      </w:r>
      <w:r>
        <w:t xml:space="preserve">Free (basic features) and Business (unlocks co-hosts, custom action items, and Dialpad AI, and requires buying however many licenses are needed at upgrade).</w:t>
      </w:r>
    </w:p>
    <w:p>
      <w:pPr>
        <w:pStyle w:val="ListParagraph"/>
        <w:numPr>
          <w:ilvl w:val="0"/>
          <w:numId w:val="2"/>
        </w:numPr>
        <w:spacing w:after="58" w:line="266"/>
      </w:pPr>
      <w:r>
        <w:t xml:space="preserve">If a Meetings account is managed under a parent Dialpad account, billing changes must be made from the Dialpad side — the Meetings dashboard itself just shows a redirect notice.</w:t>
      </w:r>
    </w:p>
    <w:p>
      <w:pPr>
        <w:pStyle w:val="ListParagraph"/>
        <w:numPr>
          <w:ilvl w:val="0"/>
          <w:numId w:val="2"/>
        </w:numPr>
        <w:spacing w:after="58" w:line="266"/>
      </w:pPr>
      <w:r>
        <w:t xml:space="preserve">Monthly billing is the default (auto-recurring); annual billing is available by asking Customer Care, charges the full 12 months on the next bill date, and sends a renewal reminder 30 days ahead.</w:t>
      </w:r>
    </w:p>
    <w:p>
      <w:pPr>
        <w:pStyle w:val="ListParagraph"/>
        <w:numPr>
          <w:ilvl w:val="0"/>
          <w:numId w:val="2"/>
        </w:numPr>
        <w:spacing w:after="58" w:line="266"/>
      </w:pPr>
      <w:r>
        <w:t xml:space="preserve">No charge to participants joining a local Dialpad Meetings number; a participant's own carrier may charge for long-distance depending on their plan. International access numbers (to help participants avoid long-distance fees) are a Business-only feature, not available on Free.</w:t>
      </w:r>
    </w:p>
    <w:p>
      <w:pPr>
        <w:pStyle w:val="ListParagraph"/>
        <w:numPr>
          <w:ilvl w:val="0"/>
          <w:numId w:val="2"/>
        </w:numPr>
        <w:spacing w:after="58" w:line="266"/>
      </w:pPr>
      <w:r>
        <w:rPr>
          <w:b/>
          <w:bCs/>
        </w:rPr>
        <w:t xml:space="preserve">Meetings taxes &amp; fees: </w:t>
      </w:r>
      <w:r>
        <w:t xml:space="preserve">calculated from the billing zip code on file — regardless of where employees actually sit — and vary by state/county/city. Charged items include the Federal Universal Service Fund (USF), a Federal Regulatory Assessment Fee, state/local taxes, and GST/HST for Canadian offices. Non-profits still owe the Federal USF and CA state assessments even with tax-exempt status — those are telecom regulatory fees, not income-tax items. A real sales/use tax exemption certificate is required to waive what can be waived; each item is broken out individually on the bill.</w:t>
      </w:r>
    </w:p>
    <w:p>
      <w:pPr>
        <w:pStyle w:val="ListParagraph"/>
        <w:numPr>
          <w:ilvl w:val="0"/>
          <w:numId w:val="2"/>
        </w:numPr>
        <w:spacing w:after="58" w:line="266"/>
      </w:pPr>
      <w:r>
        <w:rPr>
          <w:b/>
          <w:bCs/>
        </w:rPr>
        <w:t xml:space="preserve">Cancelling a Meetings account: </w:t>
      </w:r>
      <w:r>
        <w:t xml:space="preserve">Free — Menu → Account → Delete my account. Business (single user) — downgrade first if desired (keeps Business features until the current cycle ends, and keeps all call logs/recordings afterward) or go straight to Cancel/Delete from the Account menu. Business teams with 5 or fewer licenses follow the same self-service flow; 6 or more licenses require contacting Customer Care. No refund policy is documented for Meetings cancellations specifically.</w:t>
      </w:r>
    </w:p>
    <w:p>
      <w:pPr>
        <w:spacing w:after="120" w:line="288"/>
      </w:pPr>
      <w:r>
        <w:t xml:space="preserve"/>
      </w:r>
    </w:p>
    <w:p>
      <w:pPr>
        <w:pBdr>
          <w:bottom w:val="single" w:color="17365D" w:sz="8"/>
        </w:pBdr>
        <w:spacing w:after="130"/>
      </w:pPr>
    </w:p>
    <w:p>
      <w:r>
        <w:rPr>
          <w:i/>
          <w:iCs/>
          <w:color w:val="666666"/>
          <w:sz w:val="17"/>
          <w:szCs w:val="17"/>
        </w:rPr>
        <w:t xml:space="preserve">Two source layers, kept distinct throughout: (1) Dialpad reference material pulled live from help.dialpad.com/docs/billing and all 23 of its linked billing articles, read in full on 4 September 2026. (2) MCM findings from two separate passes — a frontend code read of /root/mycountrymobile-web (pages/admin-settings/billing/*, lib/billing-*.ts, lib/cost-centres.ts, lib/plan-*.ts, components/payment, signup/payment.tsx), covering Sections 2 and 5–10 and 12; and a live production-database, live-server, and backend-source audit (Sections 3 and 4), covering the default-api billing/plan/payment/cron controllers, the production database, and the running application servers directly. The production audit is a separate document supplied for this merge and was not independently re-verified query-by-query; its evidence is reproduced here as reported. Two items from that audit are explicitly flagged there as unconfirmed: the identity of the third server writing billing rows, and whether the M10 callback failure has occurred in practice.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300"/>
      <w:outlineLvl w:val="0"/>
    </w:pPr>
    <w:rPr>
      <w:b/>
      <w:bCs/>
      <w:color w:val="17365D"/>
      <w:sz w:val="30"/>
      <w:szCs w:val="30"/>
    </w:rPr>
  </w:style>
  <w:style w:type="paragraph" w:styleId="Heading2">
    <w:name w:val="Heading 2"/>
    <w:basedOn w:val="Normal"/>
    <w:next w:val="Normal"/>
    <w:qFormat/>
    <w:pPr>
      <w:spacing w:after="75" w:before="190"/>
      <w:outlineLvl w:val="1"/>
    </w:pPr>
    <w:rPr>
      <w:b/>
      <w:bCs/>
      <w:color w:val="2E5A8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Billing — Deep Audit vs Dialpad</dc:title>
  <dc:creator>MCM Billing Audit</dc:creator>
  <cp:lastModifiedBy>Un-named</cp:lastModifiedBy>
  <cp:revision>1</cp:revision>
  <dcterms:created xsi:type="dcterms:W3CDTF">2026-09-04T11:49:30.817Z</dcterms:created>
  <dcterms:modified xsi:type="dcterms:W3CDTF">2026-09-04T11:49:30.817Z</dcterms:modified>
</cp:coreProperties>
</file>

<file path=docProps/custom.xml><?xml version="1.0" encoding="utf-8"?>
<Properties xmlns="http://schemas.openxmlformats.org/officeDocument/2006/custom-properties" xmlns:vt="http://schemas.openxmlformats.org/officeDocument/2006/docPropsVTypes"/>
</file>