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551db816c73c82b6af0c777d7dcd6d0d1fa4da"/>
      <w:r>
        <w:t xml:space="preserve">Fiscal Note and Impact Statement (Drafter’s Estimate)</w:t>
      </w:r>
      <w:bookmarkEnd w:id="20"/>
    </w:p>
    <w:p>
      <w:pPr>
        <w:pStyle w:val="FirstParagraph"/>
      </w:pPr>
      <w:r>
        <w:rPr>
          <w:b/>
        </w:rPr>
        <w:t xml:space="preserve">90th Legislature, Regular Session (2027)</w:t>
      </w:r>
      <w:r>
        <w:t xml:space="preserve"> </w:t>
      </w:r>
      <w:r>
        <w:rPr>
          <w:b/>
        </w:rPr>
        <w:t xml:space="preserve">Bill:</w:t>
      </w:r>
      <w:r>
        <w:t xml:space="preserve"> </w:t>
      </w:r>
      <w:r>
        <w:t xml:space="preserve">relating to a bipartisan pre-canvass reconciliation of election records and a bounded,</w:t>
      </w:r>
      <w:r>
        <w:t xml:space="preserve"> </w:t>
      </w:r>
      <w:r>
        <w:t xml:space="preserve">non-destructive integrity examination of voting system equipment; creating criminal offenses.</w:t>
      </w:r>
    </w:p>
    <w:p>
      <w:pPr>
        <w:pStyle w:val="BlockText"/>
      </w:pPr>
      <w:r>
        <w:t xml:space="preserve">This is a sponsor-side estimate prepared to support drafting. The official fiscal note will come</w:t>
      </w:r>
      <w:r>
        <w:t xml:space="preserve"> </w:t>
      </w:r>
      <w:r>
        <w:t xml:space="preserve">from the Legislative Budget Board, based on agency responses from the Secretary of State and</w:t>
      </w:r>
      <w:r>
        <w:t xml:space="preserve"> </w:t>
      </w:r>
      <w:r>
        <w:t xml:space="preserve">county surveys. Every figure below rests on the stated assumptions, which are estimates and not</w:t>
      </w:r>
      <w:r>
        <w:t xml:space="preserve"> </w:t>
      </w:r>
      <w:r>
        <w:t xml:space="preserve">survey data.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07f4ae68f270d43e0d2f5c71de63a96aed93f46"/>
      <w:r>
        <w:t xml:space="preserve">Estimated two-year net impact to General Revenue</w:t>
      </w:r>
      <w:bookmarkEnd w:id="21"/>
    </w:p>
    <w:p>
      <w:pPr>
        <w:pStyle w:val="FirstParagraph"/>
      </w:pPr>
      <w:r>
        <w:rPr>
          <w:b/>
        </w:rPr>
        <w:t xml:space="preserve">Negative impact of about $2.32 million</w:t>
      </w:r>
      <w:r>
        <w:t xml:space="preserve"> </w:t>
      </w:r>
      <w:r>
        <w:t xml:space="preserve">through the biennium ending August 31, 2029, almost all</w:t>
      </w:r>
      <w:r>
        <w:t xml:space="preserve"> </w:t>
      </w:r>
      <w:r>
        <w:t xml:space="preserve">of it for the Secretary of State. Federal Help America Vote Act election-security funds may cover</w:t>
      </w:r>
      <w:r>
        <w:t xml:space="preserve"> </w:t>
      </w:r>
      <w:r>
        <w:t xml:space="preserve">part of the state cost, subject to federal grant terms.</w:t>
      </w:r>
    </w:p>
    <w:p>
      <w:pPr>
        <w:pStyle w:val="Heading2"/>
      </w:pPr>
      <w:bookmarkStart w:id="22" w:name="Xc00a51efca872452eb1c261483a4fa737f1a93a"/>
      <w:r>
        <w:t xml:space="preserve">Five-year impact to the State (General Revenue)</w:t>
      </w:r>
      <w:bookmarkEnd w:id="22"/>
    </w:p>
    <w:tbl>
      <w:tblPr>
        <w:tblStyle w:val="Table"/>
        <w:tblW w:type="pct" w:w="5000.0"/>
        <w:tblLook w:firstRow="1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DCE6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Fiscal year</w:t>
            </w:r>
          </w:p>
        </w:tc>
        <w:tc>
          <w:tcPr>
            <w:tcBorders>
              <w:bottom w:val="single"/>
            </w:tcBorders>
            <w:vAlign w:val="bottom"/>
            <w:shd w:val="clear" w:fill="DCE6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State cost</w:t>
            </w:r>
          </w:p>
        </w:tc>
        <w:tc>
          <w:tcPr>
            <w:tcBorders>
              <w:bottom w:val="single"/>
            </w:tcBorders>
            <w:vAlign w:val="bottom"/>
            <w:shd w:val="clear" w:fill="DCE6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Main driver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p>
            <w:pPr>
              <w:pStyle w:val="Compact"/>
              <w:jc w:val="left"/>
            </w:pPr>
            <w:r>
              <w:t xml:space="preserve">($890,000)</w:t>
            </w:r>
          </w:p>
        </w:tc>
        <w:tc>
          <w:p>
            <w:pPr>
              <w:pStyle w:val="Compact"/>
              <w:jc w:val="left"/>
            </w:pPr>
            <w:r>
              <w:t xml:space="preserve">Rules, forms, and training build; examiner team hired mid-year; forensic equipment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p>
            <w:pPr>
              <w:pStyle w:val="Compact"/>
              <w:jc w:val="left"/>
            </w:pPr>
            <w:r>
              <w:t xml:space="preserve">($1,431,000)</w:t>
            </w:r>
          </w:p>
        </w:tc>
        <w:tc>
          <w:p>
            <w:pPr>
              <w:pStyle w:val="Compact"/>
              <w:jc w:val="left"/>
            </w:pPr>
            <w:r>
              <w:t xml:space="preserve">November 2028 general election (about 126 county examinations assumed)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p>
            <w:pPr>
              <w:pStyle w:val="Compact"/>
              <w:jc w:val="left"/>
            </w:pPr>
            <w:r>
              <w:t xml:space="preserve">($1,063,000)</w:t>
            </w:r>
          </w:p>
        </w:tc>
        <w:tc>
          <w:p>
            <w:pPr>
              <w:pStyle w:val="Compact"/>
              <w:jc w:val="left"/>
            </w:pPr>
            <w:r>
              <w:t xml:space="preserve">November 2029 constitutional amendment election (about 63 examinations)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2031</w:t>
            </w:r>
          </w:p>
        </w:tc>
        <w:tc>
          <w:p>
            <w:pPr>
              <w:pStyle w:val="Compact"/>
              <w:jc w:val="left"/>
            </w:pPr>
            <w:r>
              <w:t xml:space="preserve">($1,431,000)</w:t>
            </w:r>
          </w:p>
        </w:tc>
        <w:tc>
          <w:p>
            <w:pPr>
              <w:pStyle w:val="Compact"/>
              <w:jc w:val="left"/>
            </w:pPr>
            <w:r>
              <w:t xml:space="preserve">November 2030 gubernatorial general 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2032</w:t>
            </w:r>
          </w:p>
        </w:tc>
        <w:tc>
          <w:p>
            <w:pPr>
              <w:pStyle w:val="Compact"/>
              <w:jc w:val="left"/>
            </w:pPr>
            <w:r>
              <w:t xml:space="preserve">($1,063,000)</w:t>
            </w:r>
          </w:p>
        </w:tc>
        <w:tc>
          <w:p>
            <w:pPr>
              <w:pStyle w:val="Compact"/>
              <w:jc w:val="left"/>
            </w:pPr>
            <w:r>
              <w:t xml:space="preserve">November 2031 constitutional amendment election</w:t>
            </w:r>
          </w:p>
        </w:tc>
      </w:tr>
    </w:tbl>
    <w:p>
      <w:pPr>
        <w:pStyle w:val="BodyText"/>
      </w:pPr>
      <w:r>
        <w:t xml:space="preserve">No change in state revenue is expected. Criminal penalties are unlikely to produce a significant</w:t>
      </w:r>
      <w:r>
        <w:t xml:space="preserve"> </w:t>
      </w:r>
      <w:r>
        <w:t xml:space="preserve">number of prosecutions or a significant correctional cost.</w:t>
      </w:r>
    </w:p>
    <w:p>
      <w:pPr>
        <w:pStyle w:val="Heading2"/>
      </w:pPr>
      <w:bookmarkStart w:id="23" w:name="fiscal-analysis"/>
      <w:r>
        <w:t xml:space="preserve">Fiscal analysis</w:t>
      </w:r>
      <w:bookmarkEnd w:id="23"/>
    </w:p>
    <w:p>
      <w:pPr>
        <w:pStyle w:val="FirstParagraph"/>
      </w:pPr>
      <w:r>
        <w:t xml:space="preserve">The bill lets the county chair of either of the two leading political parties request a</w:t>
      </w:r>
      <w:r>
        <w:t xml:space="preserve"> </w:t>
      </w:r>
      <w:r>
        <w:t xml:space="preserve">bipartisan reconciliation of all county election records before the local canvass, plus a</w:t>
      </w:r>
      <w:r>
        <w:t xml:space="preserve"> </w:t>
      </w:r>
      <w:r>
        <w:t xml:space="preserve">non-destructive integrity examination of a sample of voting equipment. The work is done by or for</w:t>
      </w:r>
      <w:r>
        <w:t xml:space="preserve"> </w:t>
      </w:r>
      <w:r>
        <w:t xml:space="preserve">the county’s general custodian of election records. The Secretary of State (SOS) must adopt rules</w:t>
      </w:r>
      <w:r>
        <w:t xml:space="preserve"> </w:t>
      </w:r>
      <w:r>
        <w:t xml:space="preserve">and forms, train co-judges and examiners, maintain a pool of qualified examiners available to</w:t>
      </w:r>
      <w:r>
        <w:t xml:space="preserve"> </w:t>
      </w:r>
      <w:r>
        <w:t xml:space="preserve">counties at no charge, and report every two years.</w:t>
      </w:r>
    </w:p>
    <w:p>
      <w:pPr>
        <w:pStyle w:val="Heading2"/>
      </w:pPr>
      <w:bookmarkStart w:id="24" w:name="methodology-and-assumptions"/>
      <w:r>
        <w:t xml:space="preserve">Methodology and assumptions</w:t>
      </w:r>
      <w:bookmarkEnd w:id="24"/>
    </w:p>
    <w:p>
      <w:pPr>
        <w:pStyle w:val="Heading3"/>
      </w:pPr>
      <w:bookmarkStart w:id="25" w:name="state-secretary-of-state"/>
      <w:r>
        <w:t xml:space="preserve">State (Secretary of State)</w:t>
      </w:r>
      <w:bookmarkEnd w:id="25"/>
    </w:p>
    <w:tbl>
      <w:tblPr>
        <w:tblStyle w:val="Table"/>
        <w:tblW w:type="pct" w:w="5000.0"/>
        <w:tblLook w:firstRow="1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DCE6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  <w:shd w:val="clear" w:fill="DCE6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Annual</w:t>
            </w:r>
          </w:p>
        </w:tc>
        <w:tc>
          <w:tcPr>
            <w:tcBorders>
              <w:bottom w:val="single"/>
            </w:tcBorders>
            <w:vAlign w:val="bottom"/>
            <w:shd w:val="clear" w:fill="DCE6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One-time</w:t>
            </w:r>
          </w:p>
        </w:tc>
        <w:tc>
          <w:tcPr>
            <w:tcBorders>
              <w:bottom w:val="single"/>
            </w:tcBorders>
            <w:vAlign w:val="bottom"/>
            <w:shd w:val="clear" w:fill="DCE6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Basis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Elections Division: 1 attorney and 1 program/training specialist</w:t>
            </w:r>
          </w:p>
        </w:tc>
        <w:tc>
          <w:p>
            <w:pPr>
              <w:pStyle w:val="Compact"/>
              <w:jc w:val="left"/>
            </w:pPr>
            <w:r>
              <w:t xml:space="preserve">$250,000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Rules, forms, training, help desk, biennial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examination team: 5 digital-forensics examiners</w:t>
            </w:r>
          </w:p>
        </w:tc>
        <w:tc>
          <w:p>
            <w:pPr>
              <w:pStyle w:val="Compact"/>
              <w:jc w:val="left"/>
            </w:pPr>
            <w:r>
              <w:t xml:space="preserve">$700,000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About $140,000 per examiner, salary plus benefits; hired about March 2028 (half year in FY 2028)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Forensic software licenses and maintenance</w:t>
            </w:r>
          </w:p>
        </w:tc>
        <w:tc>
          <w:p>
            <w:pPr>
              <w:pStyle w:val="Compact"/>
              <w:jc w:val="left"/>
            </w:pPr>
            <w:r>
              <w:t xml:space="preserve">$50,000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Imaging, hashing, and log-analysis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Forensic field kits (6 kits: write-blockers, offline workstations, write-once media, seals)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$90,000</w:t>
            </w:r>
          </w:p>
        </w:tc>
        <w:tc>
          <w:p>
            <w:pPr>
              <w:pStyle w:val="Compact"/>
              <w:jc w:val="left"/>
            </w:pPr>
            <w:r>
              <w:t xml:space="preserve">About $15,000 per kit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Online training and machine-readable forms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p>
            <w:pPr>
              <w:pStyle w:val="Compact"/>
              <w:jc w:val="left"/>
            </w:pPr>
            <w:r>
              <w:t xml:space="preserve">Development in FY 2028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 examiner surge in general-election years</w:t>
            </w:r>
          </w:p>
        </w:tc>
        <w:tc>
          <w:p>
            <w:pPr>
              <w:pStyle w:val="Compact"/>
              <w:jc w:val="left"/>
            </w:pPr>
            <w:r>
              <w:t xml:space="preserve">$305,000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Examiner hours above in-house peak capacity, at $200 per hour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Travel for state examiners</w:t>
            </w:r>
          </w:p>
        </w:tc>
        <w:tc>
          <w:p>
            <w:pPr>
              <w:pStyle w:val="Compact"/>
              <w:jc w:val="left"/>
            </w:pPr>
            <w:r>
              <w:t xml:space="preserve">$63,000 to $126,000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About $1,000 per county examination</w:t>
            </w:r>
          </w:p>
        </w:tc>
      </w:tr>
    </w:tbl>
    <w:p>
      <w:pPr>
        <w:pStyle w:val="BodyText"/>
      </w:pPr>
      <w:r>
        <w:rPr>
          <w:b/>
        </w:rPr>
        <w:t xml:space="preserve">Examiner hours per county examination:</w:t>
      </w:r>
      <w:r>
        <w:t xml:space="preserve"> </w:t>
      </w:r>
      <w:r>
        <w:t xml:space="preserve">16 (small), 32 (medium), 80 (large). In-house peak</w:t>
      </w:r>
      <w:r>
        <w:t xml:space="preserve"> </w:t>
      </w:r>
      <w:r>
        <w:t xml:space="preserve">capacity is about 1,500 hours across the 6-week post-election period. At 50% uptake in a general</w:t>
      </w:r>
      <w:r>
        <w:t xml:space="preserve"> </w:t>
      </w:r>
      <w:r>
        <w:t xml:space="preserve">election, demand is about 3,000 hours. The difference is met by contract examiners acting as the</w:t>
      </w:r>
      <w:r>
        <w:t xml:space="preserve"> </w:t>
      </w:r>
      <w:r>
        <w:t xml:space="preserve">county custodian’s agents, as the bill requires.</w:t>
      </w:r>
    </w:p>
    <w:p>
      <w:pPr>
        <w:pStyle w:val="Heading3"/>
      </w:pPr>
      <w:bookmarkStart w:id="26" w:name="counties"/>
      <w:r>
        <w:t xml:space="preserve">Counties</w:t>
      </w:r>
      <w:bookmarkEnd w:id="26"/>
    </w:p>
    <w:p>
      <w:pPr>
        <w:pStyle w:val="FirstParagraph"/>
      </w:pPr>
      <w:r>
        <w:t xml:space="preserve">The bill does not require any county to spend money unless a party chair requests an examination,</w:t>
      </w:r>
      <w:r>
        <w:t xml:space="preserve"> </w:t>
      </w:r>
      <w:r>
        <w:t xml:space="preserve">or the custodian starts one on its own. When an examination is held, the county pays co-judge</w:t>
      </w:r>
      <w:r>
        <w:t xml:space="preserve"> </w:t>
      </w:r>
      <w:r>
        <w:t xml:space="preserve">compensation (at the central counting station presiding-judge rate), the co-judges’ bonds, staff</w:t>
      </w:r>
      <w:r>
        <w:t xml:space="preserve"> </w:t>
      </w:r>
      <w:r>
        <w:t xml:space="preserve">time, and supplies. The state supplies examiners.</w:t>
      </w:r>
    </w:p>
    <w:tbl>
      <w:tblPr>
        <w:tblStyle w:val="Table"/>
        <w:tblW w:type="pct" w:w="5000.0"/>
        <w:tblLook w:firstRow="1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DCE6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County size (estimated number of counties)</w:t>
            </w:r>
          </w:p>
        </w:tc>
        <w:tc>
          <w:tcPr>
            <w:tcBorders>
              <w:bottom w:val="single"/>
            </w:tcBorders>
            <w:vAlign w:val="bottom"/>
            <w:shd w:val="clear" w:fill="DCE6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Recurring cost per examination</w:t>
            </w:r>
          </w:p>
        </w:tc>
        <w:tc>
          <w:tcPr>
            <w:tcBorders>
              <w:bottom w:val="single"/>
            </w:tcBorders>
            <w:vAlign w:val="bottom"/>
            <w:shd w:val="clear" w:fill="DCE6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One-time setup</w:t>
            </w:r>
          </w:p>
        </w:tc>
        <w:tc>
          <w:tcPr>
            <w:tcBorders>
              <w:bottom w:val="single"/>
            </w:tcBorders>
            <w:vAlign w:val="bottom"/>
            <w:shd w:val="clear" w:fill="DCE6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drives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Small, under about 50,000 population (about 189)</w:t>
            </w:r>
          </w:p>
        </w:tc>
        <w:tc>
          <w:p>
            <w:pPr>
              <w:pStyle w:val="Compact"/>
              <w:jc w:val="left"/>
            </w:pPr>
            <w:r>
              <w:t xml:space="preserve">about $4,600</w:t>
            </w:r>
          </w:p>
        </w:tc>
        <w:tc>
          <w:p>
            <w:pPr>
              <w:pStyle w:val="Compact"/>
              <w:jc w:val="left"/>
            </w:pPr>
            <w:r>
              <w:t xml:space="preserve">about $1,500</w:t>
            </w:r>
          </w:p>
        </w:tc>
        <w:tc>
          <w:p>
            <w:pPr>
              <w:pStyle w:val="Compact"/>
              <w:jc w:val="left"/>
            </w:pPr>
            <w:r>
              <w:t xml:space="preserve">2 co-judges × 40 hours; 60 staff hours; seals and media; bonds. Setup: video where none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Medium, about 50,000 to 250,000 (about 45)</w:t>
            </w:r>
          </w:p>
        </w:tc>
        <w:tc>
          <w:p>
            <w:pPr>
              <w:pStyle w:val="Compact"/>
              <w:jc w:val="left"/>
            </w:pPr>
            <w:r>
              <w:t xml:space="preserve">about $13,100</w:t>
            </w:r>
          </w:p>
        </w:tc>
        <w:tc>
          <w:p>
            <w:pPr>
              <w:pStyle w:val="Compact"/>
              <w:jc w:val="left"/>
            </w:pPr>
            <w:r>
              <w:t xml:space="preserve">about $3,000</w:t>
            </w:r>
          </w:p>
        </w:tc>
        <w:tc>
          <w:p>
            <w:pPr>
              <w:pStyle w:val="Compact"/>
              <w:jc w:val="left"/>
            </w:pPr>
            <w:r>
              <w:t xml:space="preserve">2 co-judges × 80 hours; 200 staff hours. Setup: offline analysis workstation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Large, about 250,000 and over (about 20)</w:t>
            </w:r>
          </w:p>
        </w:tc>
        <w:tc>
          <w:p>
            <w:pPr>
              <w:pStyle w:val="Compact"/>
              <w:jc w:val="left"/>
            </w:pPr>
            <w:r>
              <w:t xml:space="preserve">about $47,400</w:t>
            </w:r>
          </w:p>
        </w:tc>
        <w:tc>
          <w:p>
            <w:pPr>
              <w:pStyle w:val="Compact"/>
              <w:jc w:val="left"/>
            </w:pPr>
            <w:r>
              <w:t xml:space="preserve">about $10,000</w:t>
            </w:r>
          </w:p>
        </w:tc>
        <w:tc>
          <w:p>
            <w:pPr>
              <w:pStyle w:val="Compact"/>
              <w:jc w:val="left"/>
            </w:pPr>
            <w:r>
              <w:t xml:space="preserve">2 co-judges × 120 hours; 800 staff hours. Setup: analysis hardware, extra secure workspace</w:t>
            </w:r>
          </w:p>
        </w:tc>
      </w:tr>
    </w:tbl>
    <w:p>
      <w:pPr>
        <w:pStyle w:val="BodyText"/>
      </w:pPr>
      <w:r>
        <w:t xml:space="preserve">The county counts by size are approximate and need confirmation against current census estimates.</w:t>
      </w:r>
    </w:p>
    <w:p>
      <w:pPr>
        <w:pStyle w:val="BodyText"/>
      </w:pPr>
      <w:r>
        <w:rPr>
          <w:b/>
        </w:rPr>
        <w:t xml:space="preserve">Statewide county cost per general election, by share of counties requesting:</w:t>
      </w:r>
    </w:p>
    <w:tbl>
      <w:tblPr>
        <w:tblStyle w:val="Table"/>
        <w:tblW w:type="pct" w:w="0.0"/>
        <w:tblLook w:firstRow="1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DCE6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Uptake</w:t>
            </w:r>
          </w:p>
        </w:tc>
        <w:tc>
          <w:tcPr>
            <w:tcBorders>
              <w:bottom w:val="single"/>
            </w:tcBorders>
            <w:vAlign w:val="bottom"/>
            <w:shd w:val="clear" w:fill="DCE6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Examinations</w:t>
            </w:r>
          </w:p>
        </w:tc>
        <w:tc>
          <w:tcPr>
            <w:tcBorders>
              <w:bottom w:val="single"/>
            </w:tcBorders>
            <w:vAlign w:val="bottom"/>
            <w:shd w:val="clear" w:fill="DCE6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Recurring county cost</w:t>
            </w:r>
          </w:p>
        </w:tc>
        <w:tc>
          <w:tcPr>
            <w:tcBorders>
              <w:bottom w:val="single"/>
            </w:tcBorders>
            <w:vAlign w:val="bottom"/>
            <w:shd w:val="clear" w:fill="DCE6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First-time setup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about 63</w:t>
            </w:r>
          </w:p>
        </w:tc>
        <w:tc>
          <w:p>
            <w:pPr>
              <w:pStyle w:val="Compact"/>
              <w:jc w:val="left"/>
            </w:pPr>
            <w:r>
              <w:t xml:space="preserve">about $0.60 million</w:t>
            </w:r>
          </w:p>
        </w:tc>
        <w:tc>
          <w:p>
            <w:pPr>
              <w:pStyle w:val="Compact"/>
              <w:jc w:val="left"/>
            </w:pPr>
            <w:r>
              <w:t xml:space="preserve">about $0.15 million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50% (assumed)</w:t>
            </w:r>
          </w:p>
        </w:tc>
        <w:tc>
          <w:p>
            <w:pPr>
              <w:pStyle w:val="Compact"/>
              <w:jc w:val="left"/>
            </w:pPr>
            <w:r>
              <w:t xml:space="preserve">about 126</w:t>
            </w:r>
          </w:p>
        </w:tc>
        <w:tc>
          <w:p>
            <w:pPr>
              <w:pStyle w:val="Compact"/>
              <w:jc w:val="left"/>
            </w:pPr>
            <w:r>
              <w:t xml:space="preserve">about $1.19 million</w:t>
            </w:r>
          </w:p>
        </w:tc>
        <w:tc>
          <w:p>
            <w:pPr>
              <w:pStyle w:val="Compact"/>
              <w:jc w:val="left"/>
            </w:pPr>
            <w:r>
              <w:t xml:space="preserve">about $0.31 million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p>
            <w:pPr>
              <w:pStyle w:val="Compact"/>
              <w:jc w:val="left"/>
            </w:pPr>
            <w:r>
              <w:t xml:space="preserve">about $2.41 million</w:t>
            </w:r>
          </w:p>
        </w:tc>
        <w:tc>
          <w:p>
            <w:pPr>
              <w:pStyle w:val="Compact"/>
              <w:jc w:val="left"/>
            </w:pPr>
            <w:r>
              <w:t xml:space="preserve">about $0.62 million</w:t>
            </w:r>
          </w:p>
        </w:tc>
      </w:tr>
    </w:tbl>
    <w:p>
      <w:pPr>
        <w:pStyle w:val="BodyText"/>
      </w:pPr>
      <w:r>
        <w:t xml:space="preserve">Costs are lower in counties that already meet related requirements. Counties of 100,000 or more</w:t>
      </w:r>
      <w:r>
        <w:t xml:space="preserve"> </w:t>
      </w:r>
      <w:r>
        <w:t xml:space="preserve">already livestream areas holding voted ballots (Elec. Code §127.1232), and counties of 250,000 or</w:t>
      </w:r>
      <w:r>
        <w:t xml:space="preserve"> </w:t>
      </w:r>
      <w:r>
        <w:t xml:space="preserve">more already keep electronic activity logs at the central counting station (§127.009). Every</w:t>
      </w:r>
      <w:r>
        <w:t xml:space="preserve"> </w:t>
      </w:r>
      <w:r>
        <w:t xml:space="preserve">county already prepares the §127.131(f) reconciliation, runs the §127.201 manual count, and takes</w:t>
      </w:r>
      <w:r>
        <w:t xml:space="preserve"> </w:t>
      </w:r>
      <w:r>
        <w:t xml:space="preserve">part in the risk-limiting audit (§127.302, as amended in 2025). The bill reconciles those existing</w:t>
      </w:r>
      <w:r>
        <w:t xml:space="preserve"> </w:t>
      </w:r>
      <w:r>
        <w:t xml:space="preserve">outputs rather than duplicating them.</w:t>
      </w:r>
    </w:p>
    <w:p>
      <w:pPr>
        <w:pStyle w:val="Heading3"/>
      </w:pPr>
      <w:bookmarkStart w:id="27" w:name="equipment-and-vendors"/>
      <w:r>
        <w:t xml:space="preserve">Equipment and vendors</w:t>
      </w:r>
      <w:bookmarkEnd w:id="27"/>
    </w:p>
    <w:p>
      <w:pPr>
        <w:pStyle w:val="FirstParagraph"/>
      </w:pPr>
      <w:r>
        <w:t xml:space="preserve">The default examination is non-invasive, uses the voting system’s own export functions, and does</w:t>
      </w:r>
      <w:r>
        <w:t xml:space="preserve"> </w:t>
      </w:r>
      <w:r>
        <w:t xml:space="preserve">not change the certified configuration. No re-certification cost is expected for those steps.</w:t>
      </w:r>
      <w:r>
        <w:t xml:space="preserve"> </w:t>
      </w:r>
      <w:r>
        <w:t xml:space="preserve">Invasive work (opening a unit) happens only on an objective anomaly with SOS approval. It is</w:t>
      </w:r>
      <w:r>
        <w:t xml:space="preserve"> </w:t>
      </w:r>
      <w:r>
        <w:t xml:space="preserve">scheduled on units not needed until re-acceptance, which costs a logic-and-accuracy test and</w:t>
      </w:r>
      <w:r>
        <w:t xml:space="preserve"> </w:t>
      </w:r>
      <w:r>
        <w:t xml:space="preserve">resealing (staff time only). Requiring vendors to supply trusted-build manifests and export tools</w:t>
      </w:r>
      <w:r>
        <w:t xml:space="preserve"> </w:t>
      </w:r>
      <w:r>
        <w:t xml:space="preserve">as a condition of certification (§127.429(b)) may raise future certification-application costs</w:t>
      </w:r>
      <w:r>
        <w:t xml:space="preserve"> </w:t>
      </w:r>
      <w:r>
        <w:t xml:space="preserve">for vendors. That cost is not borne by the state.</w:t>
      </w:r>
    </w:p>
    <w:p>
      <w:pPr>
        <w:pStyle w:val="Heading2"/>
      </w:pPr>
      <w:bookmarkStart w:id="28" w:name="technology"/>
      <w:r>
        <w:t xml:space="preserve">Technology</w:t>
      </w:r>
      <w:bookmarkEnd w:id="28"/>
    </w:p>
    <w:p>
      <w:pPr>
        <w:pStyle w:val="FirstParagraph"/>
      </w:pPr>
      <w:r>
        <w:t xml:space="preserve">The SOS will need secure storage and distribution for trusted-build reference files, building on</w:t>
      </w:r>
      <w:r>
        <w:t xml:space="preserve"> </w:t>
      </w:r>
      <w:r>
        <w:t xml:space="preserve">its existing practice of furnishing hash values for logic-and-accuracy testing. A reconciliation</w:t>
      </w:r>
      <w:r>
        <w:t xml:space="preserve"> </w:t>
      </w:r>
      <w:r>
        <w:t xml:space="preserve">software tool that meets §127.426 can be used without voting-system certification, but the bill</w:t>
      </w:r>
      <w:r>
        <w:t xml:space="preserve"> </w:t>
      </w:r>
      <w:r>
        <w:t xml:space="preserve">does not require the state to buy one.</w:t>
      </w:r>
    </w:p>
    <w:p>
      <w:pPr>
        <w:pStyle w:val="Heading2"/>
      </w:pPr>
      <w:bookmarkStart w:id="29" w:name="local-government-impact"/>
      <w:r>
        <w:t xml:space="preserve">Local government impact</w:t>
      </w:r>
      <w:bookmarkEnd w:id="29"/>
    </w:p>
    <w:p>
      <w:pPr>
        <w:pStyle w:val="FirstParagraph"/>
      </w:pPr>
      <w:r>
        <w:t xml:space="preserve">The impact is permissive, triggered by a party request, and varies with county size and uptake.</w:t>
      </w:r>
      <w:r>
        <w:t xml:space="preserve"> </w:t>
      </w:r>
      <w:r>
        <w:t xml:space="preserve">It could be significant for a large county that holds an examination in a general election (about</w:t>
      </w:r>
      <w:r>
        <w:t xml:space="preserve"> </w:t>
      </w:r>
      <w:r>
        <w:t xml:space="preserve">$47,000 per election). It is likely modest for small counties (about $5,000 per election). The SOS</w:t>
      </w:r>
      <w:r>
        <w:t xml:space="preserve"> </w:t>
      </w:r>
      <w:r>
        <w:t xml:space="preserve">examiner pool removes what would otherwise be the largest county cost: specialized forensic labor.</w:t>
      </w:r>
    </w:p>
    <w:p>
      <w:pPr>
        <w:pStyle w:val="Heading2"/>
      </w:pPr>
      <w:bookmarkStart w:id="30" w:name="sensitivity"/>
      <w:r>
        <w:t xml:space="preserve">Sensitivity</w:t>
      </w:r>
      <w:bookmarkEnd w:id="30"/>
    </w:p>
    <w:p>
      <w:pPr>
        <w:numPr>
          <w:ilvl w:val="0"/>
          <w:numId w:val="1001"/>
        </w:numPr>
        <w:pStyle w:val="Compact"/>
      </w:pPr>
      <w:r>
        <w:t xml:space="preserve">If every county requests an examination in every general election, state costs rise by about</w:t>
      </w:r>
      <w:r>
        <w:t xml:space="preserve"> </w:t>
      </w:r>
      <w:r>
        <w:t xml:space="preserve">$0.7 million in general-election years (more contract surge and travel), and county costs double</w:t>
      </w:r>
      <w:r>
        <w:t xml:space="preserve"> </w:t>
      </w:r>
      <w:r>
        <w:t xml:space="preserve">from the 50% case.</w:t>
      </w:r>
    </w:p>
    <w:p>
      <w:pPr>
        <w:numPr>
          <w:ilvl w:val="0"/>
          <w:numId w:val="1001"/>
        </w:numPr>
        <w:pStyle w:val="Compact"/>
      </w:pPr>
      <w:r>
        <w:t xml:space="preserve">If co-judge pay is set higher than the assumed $20 to $25 an hour, each $5 an hour adds about</w:t>
      </w:r>
      <w:r>
        <w:t xml:space="preserve"> </w:t>
      </w:r>
      <w:r>
        <w:t xml:space="preserve">$70,000 statewide at 50% uptake.</w:t>
      </w:r>
    </w:p>
    <w:p>
      <w:pPr>
        <w:numPr>
          <w:ilvl w:val="0"/>
          <w:numId w:val="1001"/>
        </w:numPr>
        <w:pStyle w:val="Compact"/>
      </w:pPr>
      <w:r>
        <w:t xml:space="preserve">Phasing the bill in (for example, the integrity examination only in counties of 250,000 or more)</w:t>
      </w:r>
      <w:r>
        <w:t xml:space="preserve"> </w:t>
      </w:r>
      <w:r>
        <w:t xml:space="preserve">would largely eliminate the contract surge and travel, saving about $0.4 million in</w:t>
      </w:r>
      <w:r>
        <w:t xml:space="preserve"> </w:t>
      </w:r>
      <w:r>
        <w:t xml:space="preserve">general-election years.</w:t>
      </w:r>
    </w:p>
    <w:p>
      <w:pPr>
        <w:pStyle w:val="FirstParagraph"/>
      </w:pPr>
      <w:r>
        <w:rPr>
          <w:b/>
        </w:rPr>
        <w:t xml:space="preserve">Source agencies (for LBB):</w:t>
      </w:r>
      <w:r>
        <w:t xml:space="preserve"> </w:t>
      </w:r>
      <w:r>
        <w:t xml:space="preserve">307 Secretary of State; 304 Comptroller of Public Accounts;</w:t>
      </w:r>
      <w:r>
        <w:t xml:space="preserve"> </w:t>
      </w:r>
      <w:r>
        <w:t xml:space="preserve">Texas Association of Counties; county election officials.</w:t>
      </w:r>
    </w:p>
    <w:sect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 w:eastAsia="Calibri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 w:cs="Calibri" w:eastAsia="Calibri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cs="Calibri" w:eastAsia="Calibri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cs="Calibri" w:eastAsia="Calibr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 w:cs="Calibri" w:eastAsia="Calibri"/>
      <w:b/>
      <w:bCs/>
      <w:color w:val="1F3A5F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 w:cs="Calibri" w:eastAsia="Calibri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rFonts w:ascii="Calibri" w:hAnsi="Calibri" w:cs="Calibri" w:eastAsia="Calibri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Calibri" w:hAnsi="Calibri" w:cs="Calibri" w:eastAsia="Calibri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3A5F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Calibri"/>
      <w:i/>
      <w:bCs/>
      <w:color w:val="1F3A5F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Calibri"/>
      <w:iCs/>
      <w:color w:val="1F3A5F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Calibri"/>
      <w:color w:val="1F3A5F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 w:cs="Calibri" w:eastAsia="Calibri"/>
      <w:color w:val="1F3A5F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 w:cs="Calibri" w:eastAsia="Calibri"/>
      <w:color w:val="1F3A5F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 w:cs="Calibri" w:eastAsia="Calibri"/>
      <w:color w:val="1F3A5F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 w:cs="Calibri" w:eastAsia="Calibri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type="paragraph" w:customStyle="1" w:styleId="Definition">
    <w:name w:val="Definition"/>
    <w:basedOn w:val="Normal"/>
    <w:rPr>
      <w:rFonts w:ascii="Calibri" w:hAnsi="Calibri" w:cs="Calibri" w:eastAsia="Calibri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 w:cs="Calibri" w:eastAsia="Calibri"/>
      <w:i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 w:cs="Calibri" w:eastAsia="Calibri"/>
    </w:rPr>
  </w:style>
  <w:style w:type="paragraph" w:customStyle="1" w:styleId="ImageCaption">
    <w:name w:val="Image Caption"/>
    <w:basedOn w:val="Caption"/>
    <w:rPr>
      <w:rFonts w:ascii="Calibri" w:hAnsi="Calibri" w:cs="Calibri" w:eastAsia="Calibri"/>
    </w:rPr>
  </w:style>
  <w:style w:type="paragraph" w:customStyle="1" w:styleId="Figure">
    <w:name w:val="Figure"/>
    <w:basedOn w:val="Normal"/>
    <w:rPr>
      <w:rFonts w:ascii="Calibri" w:hAnsi="Calibri" w:cs="Calibri" w:eastAsia="Calibri"/>
    </w:rPr>
  </w:style>
  <w:style w:type="paragraph" w:customStyle="1" w:styleId="CaptionedFigure">
    <w:name w:val="Captioned Figure"/>
    <w:basedOn w:val="Figure"/>
    <w:pPr>
      <w:keepNext/>
    </w:pPr>
    <w:rPr>
      <w:rFonts w:ascii="Calibri" w:hAnsi="Calibri" w:cs="Calibri" w:eastAsia="Calibri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 w:cs="Calibri" w:eastAsia="Calibr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2026-10-06T02:29:46Z</dcterms:created>
  <dcterms:modified xsi:type="dcterms:W3CDTF">2026-10-06T02:29:46Z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