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fdf126ba15a913c5696133daee7439c3da96d0"/>
      <w:r>
        <w:t xml:space="preserve">Bipartisan Pre-Canvass Reconciliation Act: Bill Summary and Talking Points</w:t>
      </w:r>
      <w:bookmarkEnd w:id="20"/>
    </w:p>
    <w:p>
      <w:pPr>
        <w:pStyle w:val="FirstParagraph"/>
      </w:pPr>
      <w:r>
        <w:rPr>
          <w:i/>
        </w:rPr>
        <w:t xml:space="preserve">For legislators, county party chairs, and election administrators. 90th Legislature, 2027.</w:t>
      </w:r>
    </w:p>
    <w:p>
      <w:pPr>
        <w:pStyle w:val="Heading2"/>
      </w:pPr>
      <w:bookmarkStart w:id="21" w:name="what-it-does-in-one-sentence"/>
      <w:r>
        <w:t xml:space="preserve">What it does, in one sentence</w:t>
      </w:r>
      <w:bookmarkEnd w:id="21"/>
    </w:p>
    <w:p>
      <w:pPr>
        <w:pStyle w:val="FirstParagraph"/>
      </w:pPr>
      <w:r>
        <w:t xml:space="preserve">At the request of either major party’s county chair, the county’s election office reconciles every</w:t>
      </w:r>
      <w:r>
        <w:t xml:space="preserve"> </w:t>
      </w:r>
      <w:r>
        <w:t xml:space="preserve">count against every other count before the canvass, with one co-judge from each party watching and</w:t>
      </w:r>
      <w:r>
        <w:t xml:space="preserve"> </w:t>
      </w:r>
      <w:r>
        <w:t xml:space="preserve">signing, and checks a sample of voting equipment against its approved software. Nothing leaves the</w:t>
      </w:r>
      <w:r>
        <w:t xml:space="preserve"> </w:t>
      </w:r>
      <w:r>
        <w:t xml:space="preserve">election office’s custody, and certification stays on schedule.</w:t>
      </w:r>
    </w:p>
    <w:p>
      <w:pPr>
        <w:pStyle w:val="Heading2"/>
      </w:pPr>
      <w:bookmarkStart w:id="22" w:name="the-problem"/>
      <w:r>
        <w:t xml:space="preserve">The problem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Texans of both parties want to see the numbers add up, and they want to see it before results</w:t>
      </w:r>
      <w:r>
        <w:t xml:space="preserve"> </w:t>
      </w:r>
      <w:r>
        <w:t xml:space="preserve">are certified, not months later.</w:t>
      </w:r>
    </w:p>
    <w:p>
      <w:pPr>
        <w:numPr>
          <w:ilvl w:val="0"/>
          <w:numId w:val="1001"/>
        </w:numPr>
        <w:pStyle w:val="Compact"/>
      </w:pPr>
      <w:r>
        <w:t xml:space="preserve">The reviews that damaged trust elsewhere handed ballots and machines to private firms. That broke</w:t>
      </w:r>
      <w:r>
        <w:t xml:space="preserve"> </w:t>
      </w:r>
      <w:r>
        <w:t xml:space="preserve">the chain of custody, put certified equipment at risk, and still settled nothing.</w:t>
      </w:r>
    </w:p>
    <w:p>
      <w:pPr>
        <w:numPr>
          <w:ilvl w:val="0"/>
          <w:numId w:val="1001"/>
        </w:numPr>
        <w:pStyle w:val="Compact"/>
      </w:pPr>
      <w:r>
        <w:t xml:space="preserve">Texas already produces most of the records needed: reconciliation forms, manual counts,</w:t>
      </w:r>
      <w:r>
        <w:t xml:space="preserve"> </w:t>
      </w:r>
      <w:r>
        <w:t xml:space="preserve">risk-limiting audits, hash tests, device logs, and video. Few counties cross-check them all, and</w:t>
      </w:r>
      <w:r>
        <w:t xml:space="preserve"> </w:t>
      </w:r>
      <w:r>
        <w:t xml:space="preserve">fewer publish them. Only 1 of 254 counties posts EMS audit logs online.</w:t>
      </w:r>
    </w:p>
    <w:p>
      <w:pPr>
        <w:pStyle w:val="Heading2"/>
      </w:pPr>
      <w:bookmarkStart w:id="23" w:name="how-it-works"/>
      <w:r>
        <w:t xml:space="preserve">How it works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Request.</w:t>
      </w:r>
      <w:r>
        <w:t xml:space="preserve"> </w:t>
      </w:r>
      <w:r>
        <w:t xml:space="preserve">Either party’s county chair asks, 60 days before the election.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Two co-judges.</w:t>
      </w:r>
      <w:r>
        <w:t xml:space="preserve"> </w:t>
      </w:r>
      <w:r>
        <w:t xml:space="preserve">Each party’s chair appoints one. They are sworn, bonded, and trained. The</w:t>
      </w:r>
      <w:r>
        <w:t xml:space="preserve"> </w:t>
      </w:r>
      <w:r>
        <w:t xml:space="preserve">co-judge from the party that carried the county for governor presides, the same rule Texas</w:t>
      </w:r>
      <w:r>
        <w:t xml:space="preserve"> </w:t>
      </w:r>
      <w:r>
        <w:t xml:space="preserve">already uses for presiding judges (§32.002) and the Early Voting Ballot Board (§87.002).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Reconcile every loop.</w:t>
      </w:r>
      <w:r>
        <w:t xml:space="preserve"> </w:t>
      </w:r>
      <w:r>
        <w:t xml:space="preserve">Voters checked in against ballots cast. Mail ballots issued against</w:t>
      </w:r>
      <w:r>
        <w:t xml:space="preserve"> </w:t>
      </w:r>
      <w:r>
        <w:t xml:space="preserve">returned, accepted, and counted. Machine totals against ballot images, the manual count, and the</w:t>
      </w:r>
      <w:r>
        <w:t xml:space="preserve"> </w:t>
      </w:r>
      <w:r>
        <w:t xml:space="preserve">risk-limiting audit. Ballots printed against issued, spoiled, and unused. Seals and transfer logs</w:t>
      </w:r>
      <w:r>
        <w:t xml:space="preserve"> </w:t>
      </w:r>
      <w:r>
        <w:t xml:space="preserve">from start to finish.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Check a sample of equipment.</w:t>
      </w:r>
      <w:r>
        <w:t xml:space="preserve"> </w:t>
      </w:r>
      <w:r>
        <w:t xml:space="preserve">All election management systems and central scanners, plus a</w:t>
      </w:r>
      <w:r>
        <w:t xml:space="preserve"> </w:t>
      </w:r>
      <w:r>
        <w:t xml:space="preserve">random draw of precinct scanners and ballot-marking devices. Each is checked against the</w:t>
      </w:r>
      <w:r>
        <w:t xml:space="preserve"> </w:t>
      </w:r>
      <w:r>
        <w:t xml:space="preserve">state-approved software build, its logs are reviewed, its USB media are imaged, and its network</w:t>
      </w:r>
      <w:r>
        <w:t xml:space="preserve"> </w:t>
      </w:r>
      <w:r>
        <w:t xml:space="preserve">connections are confirmed off. Each co-judge may add two units. Machines are opened only on a</w:t>
      </w:r>
      <w:r>
        <w:t xml:space="preserve"> </w:t>
      </w:r>
      <w:r>
        <w:t xml:space="preserve">real red flag and with Secretary of State approval.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Sign and publish.</w:t>
      </w:r>
      <w:r>
        <w:t xml:space="preserve"> </w:t>
      </w:r>
      <w:r>
        <w:t xml:space="preserve">Precinct reports, a master discrepancy log, and an assurance statement go</w:t>
      </w:r>
      <w:r>
        <w:t xml:space="preserve"> </w:t>
      </w:r>
      <w:r>
        <w:t xml:space="preserve">to the commissioners court with the canvass and are posted online. Passwords and exploitable</w:t>
      </w:r>
      <w:r>
        <w:t xml:space="preserve"> </w:t>
      </w:r>
      <w:r>
        <w:t xml:space="preserve">details are redacted.</w:t>
      </w:r>
    </w:p>
    <w:p>
      <w:pPr>
        <w:pStyle w:val="Heading2"/>
      </w:pPr>
      <w:bookmarkStart w:id="24" w:name="why-it-cannot-stall-certification"/>
      <w:r>
        <w:t xml:space="preserve">Why it cannot stall certification</w:t>
      </w:r>
      <w:bookmarkEnd w:id="24"/>
    </w:p>
    <w:tbl>
      <w:tblPr>
        <w:tblStyle w:val="Table"/>
        <w:tblW w:type="pct" w:w="5000.0"/>
        <w:tblLook w:firstRow="1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DCE6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If…</w:t>
            </w:r>
          </w:p>
        </w:tc>
        <w:tc>
          <w:tcPr>
            <w:tcBorders>
              <w:bottom w:val="single"/>
            </w:tcBorders>
            <w:vAlign w:val="bottom"/>
            <w:shd w:val="clear" w:fill="DCE6F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then…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count does not match</w:t>
            </w:r>
          </w:p>
        </w:tc>
        <w:tc>
          <w:p>
            <w:pPr>
              <w:pStyle w:val="Compact"/>
              <w:jc w:val="left"/>
            </w:pPr>
            <w:r>
              <w:t xml:space="preserve">redo it together until two passes agree (as Texas hand counts already do)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co-judges disagree on why</w:t>
            </w:r>
          </w:p>
        </w:tc>
        <w:tc>
          <w:p>
            <w:pPr>
              <w:pStyle w:val="Compact"/>
              <w:jc w:val="left"/>
            </w:pPr>
            <w:r>
              <w:t xml:space="preserve">the presiding co-judge decides in writing, and the disputed items are sealed and saved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co-judge still disagrees</w:t>
            </w:r>
          </w:p>
        </w:tc>
        <w:tc>
          <w:p>
            <w:pPr>
              <w:pStyle w:val="Compact"/>
              <w:jc w:val="left"/>
            </w:pPr>
            <w:r>
              <w:t xml:space="preserve">the dissent is recorded, but it is not a veto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something is unresolved</w:t>
            </w:r>
          </w:p>
        </w:tc>
        <w:tc>
          <w:p>
            <w:pPr>
              <w:pStyle w:val="Compact"/>
              <w:jc w:val="left"/>
            </w:pPr>
            <w:r>
              <w:t xml:space="preserve">only that item goes to the commissioners court, then to a recount or contest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party boycotts</w:t>
            </w:r>
          </w:p>
        </w:tc>
        <w:tc>
          <w:p>
            <w:pPr>
              <w:pStyle w:val="Compact"/>
              <w:jc w:val="left"/>
            </w:pPr>
            <w:r>
              <w:t xml:space="preserve">the work continues under two-person control, on video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 runs out</w:t>
            </w:r>
          </w:p>
        </w:tc>
        <w:tc>
          <w:p>
            <w:pPr>
              <w:pStyle w:val="Compact"/>
              <w:jc w:val="left"/>
            </w:pPr>
            <w:r>
              <w:t xml:space="preserve">the examination closes 2 days before the canvass deadline, and the canvass happens on time</w:t>
            </w:r>
          </w:p>
        </w:tc>
      </w:tr>
    </w:tbl>
    <w:p>
      <w:pPr>
        <w:pStyle w:val="Heading2"/>
      </w:pPr>
      <w:bookmarkStart w:id="25" w:name="talking-points-by-audience"/>
      <w:r>
        <w:t xml:space="preserve">Talking points by audience</w:t>
      </w:r>
      <w:bookmarkEnd w:id="25"/>
    </w:p>
    <w:p>
      <w:pPr>
        <w:pStyle w:val="FirstParagraph"/>
      </w:pPr>
      <w:r>
        <w:rPr>
          <w:b/>
        </w:rPr>
        <w:t xml:space="preserve">Legislators</w:t>
      </w:r>
      <w:r>
        <w:t xml:space="preserve"> </w:t>
      </w:r>
      <w:r>
        <w:t xml:space="preserve">- It extends tools Texas already trusts: presiding and alternate judges, the Early Voting Ballot</w:t>
      </w:r>
      <w:r>
        <w:t xml:space="preserve"> </w:t>
      </w:r>
      <w:r>
        <w:t xml:space="preserve">Board and Signature Verification Committee, hand-count reconciliation, and recount procedures.</w:t>
      </w:r>
      <w:r>
        <w:t xml:space="preserve"> </w:t>
      </w:r>
      <w:r>
        <w:t xml:space="preserve">It is not a new</w:t>
      </w:r>
      <w:r>
        <w:t xml:space="preserve"> </w:t>
      </w:r>
      <w:r>
        <w:t xml:space="preserve">“</w:t>
      </w:r>
      <w:r>
        <w:t xml:space="preserve">audit agency.</w:t>
      </w:r>
      <w:r>
        <w:t xml:space="preserve">”</w:t>
      </w:r>
      <w:r>
        <w:t xml:space="preserve"> </w:t>
      </w:r>
      <w:r>
        <w:t xml:space="preserve">- It is a single subchapter in Chapter 127, next to the manual count and the risk-limiting audit.</w:t>
      </w:r>
      <w:r>
        <w:t xml:space="preserve"> </w:t>
      </w:r>
      <w:r>
        <w:t xml:space="preserve">- It keeps the canvass inside the current 11- or 14-day window. No deadline moves.</w:t>
      </w:r>
      <w:r>
        <w:t xml:space="preserve"> </w:t>
      </w:r>
      <w:r>
        <w:t xml:space="preserve">- The estimated state cost is about $1 million to $1.4 million a year, mostly for a state examiner</w:t>
      </w:r>
      <w:r>
        <w:t xml:space="preserve"> </w:t>
      </w:r>
      <w:r>
        <w:t xml:space="preserve">team that counties can use for free.</w:t>
      </w:r>
    </w:p>
    <w:p>
      <w:pPr>
        <w:pStyle w:val="BodyText"/>
      </w:pPr>
      <w:r>
        <w:rPr>
          <w:b/>
        </w:rPr>
        <w:t xml:space="preserve">County party chairs</w:t>
      </w:r>
      <w:r>
        <w:t xml:space="preserve"> </w:t>
      </w:r>
      <w:r>
        <w:t xml:space="preserve">- It gives you a statutory right to request an examination, not a favor you have to ask for.</w:t>
      </w:r>
      <w:r>
        <w:t xml:space="preserve"> </w:t>
      </w:r>
      <w:r>
        <w:t xml:space="preserve">- Your co-judge sees every step, asks questions on the record, and can flag two machines of your</w:t>
      </w:r>
      <w:r>
        <w:t xml:space="preserve"> </w:t>
      </w:r>
      <w:r>
        <w:t xml:space="preserve">choosing.</w:t>
      </w:r>
      <w:r>
        <w:t xml:space="preserve"> </w:t>
      </w:r>
      <w:r>
        <w:t xml:space="preserve">- Your dissent becomes part of the official record and can be used in a recount or contest.</w:t>
      </w:r>
    </w:p>
    <w:p>
      <w:pPr>
        <w:pStyle w:val="BodyText"/>
      </w:pPr>
      <w:r>
        <w:rPr>
          <w:b/>
        </w:rPr>
        <w:t xml:space="preserve">Election administrators</w:t>
      </w:r>
      <w:r>
        <w:t xml:space="preserve"> </w:t>
      </w:r>
      <w:r>
        <w:t xml:space="preserve">- You keep custody and control. Examiners work as your agents, on your hardware, in your building.</w:t>
      </w:r>
      <w:r>
        <w:t xml:space="preserve"> </w:t>
      </w:r>
      <w:r>
        <w:t xml:space="preserve">- Non-invasive checks use the system’s own export functions and do not touch certification.</w:t>
      </w:r>
      <w:r>
        <w:t xml:space="preserve"> </w:t>
      </w:r>
      <w:r>
        <w:t xml:space="preserve">- A missing co-judge or a refused signature cannot hold you hostage. Your signature completes</w:t>
      </w:r>
      <w:r>
        <w:t xml:space="preserve"> </w:t>
      </w:r>
      <w:r>
        <w:t xml:space="preserve">every report.</w:t>
      </w:r>
      <w:r>
        <w:t xml:space="preserve"> </w:t>
      </w:r>
      <w:r>
        <w:t xml:space="preserve">- Machine-readable forms from the Secretary of State and an exemption for read-only analysis</w:t>
      </w:r>
      <w:r>
        <w:t xml:space="preserve"> </w:t>
      </w:r>
      <w:r>
        <w:t xml:space="preserve">software make the work practical within the canvass window.</w:t>
      </w:r>
    </w:p>
    <w:p>
      <w:pPr>
        <w:pStyle w:val="Heading2"/>
      </w:pPr>
      <w:bookmarkStart w:id="26" w:name="what-it-does-not-do"/>
      <w:r>
        <w:t xml:space="preserve">What it does not do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It does not change any vote total. Corrections happen only through existing law.</w:t>
      </w:r>
    </w:p>
    <w:p>
      <w:pPr>
        <w:numPr>
          <w:ilvl w:val="0"/>
          <w:numId w:val="1003"/>
        </w:numPr>
        <w:pStyle w:val="Compact"/>
      </w:pPr>
      <w:r>
        <w:t xml:space="preserve">It does not let any party, candidate, or private firm take ballots, machines, or data.</w:t>
      </w:r>
    </w:p>
    <w:p>
      <w:pPr>
        <w:numPr>
          <w:ilvl w:val="0"/>
          <w:numId w:val="1003"/>
        </w:numPr>
        <w:pStyle w:val="Compact"/>
      </w:pPr>
      <w:r>
        <w:t xml:space="preserve">It does not reopen ballot-acceptance decisions made by the Early Voting Ballot Board or the</w:t>
      </w:r>
      <w:r>
        <w:t xml:space="preserve"> </w:t>
      </w:r>
      <w:r>
        <w:t xml:space="preserve">Signature Verification Committee.</w:t>
      </w:r>
    </w:p>
    <w:p>
      <w:pPr>
        <w:numPr>
          <w:ilvl w:val="0"/>
          <w:numId w:val="1003"/>
        </w:numPr>
        <w:pStyle w:val="Compact"/>
      </w:pPr>
      <w:r>
        <w:t xml:space="preserve">It does not claim to prove a machine was never hacked. Every report says what the check can and</w:t>
      </w:r>
      <w:r>
        <w:t xml:space="preserve"> </w:t>
      </w:r>
      <w:r>
        <w:t xml:space="preserve">cannot show. The paper ballots remain the record of the vote.</w:t>
      </w:r>
    </w:p>
    <w:p>
      <w:pPr>
        <w:pStyle w:val="Heading2"/>
      </w:pPr>
      <w:bookmarkStart w:id="27" w:name="key-dates"/>
      <w:r>
        <w:t xml:space="preserve">Key dates</w:t>
      </w:r>
      <w:bookmarkEnd w:id="27"/>
    </w:p>
    <w:p>
      <w:pPr>
        <w:pStyle w:val="FirstParagraph"/>
      </w:pPr>
      <w:r>
        <w:t xml:space="preserve">The act takes effect</w:t>
      </w:r>
      <w:r>
        <w:t xml:space="preserve"> </w:t>
      </w:r>
      <w:r>
        <w:rPr>
          <w:b/>
        </w:rPr>
        <w:t xml:space="preserve">September 1, 2027</w:t>
      </w:r>
      <w:r>
        <w:t xml:space="preserve">. The Secretary of State’s rules are due by</w:t>
      </w:r>
      <w:r>
        <w:t xml:space="preserve"> </w:t>
      </w:r>
      <w:r>
        <w:rPr>
          <w:b/>
        </w:rPr>
        <w:t xml:space="preserve">December 1, 2027</w:t>
      </w:r>
      <w:r>
        <w:t xml:space="preserve">. The first elections covered are those held on or after</w:t>
      </w:r>
      <w:r>
        <w:t xml:space="preserve"> </w:t>
      </w:r>
      <w:r>
        <w:rPr>
          <w:b/>
        </w:rPr>
        <w:t xml:space="preserve">January 1, 2028</w:t>
      </w:r>
      <w:r>
        <w:t xml:space="preserve">,</w:t>
      </w:r>
      <w:r>
        <w:t xml:space="preserve"> </w:t>
      </w:r>
      <w:r>
        <w:t xml:space="preserve">and the November 2028 general election is the first major one.</w:t>
      </w:r>
    </w:p>
    <w:sectPr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cs="Calibri" w:eastAsia="Calibri"/>
      <w:sz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Calibri" w:hAnsi="Calibri" w:cs="Calibri" w:eastAsia="Calibri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 w:cs="Calibri" w:eastAsia="Calibri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 w:cs="Calibri" w:eastAsia="Calibri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Calibri" w:hAnsi="Calibri" w:cs="Calibri" w:eastAsia="Calibri"/>
      <w:b/>
      <w:bCs/>
      <w:color w:val="1F3A5F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Calibri" w:hAnsi="Calibri" w:cs="Calibri" w:eastAsia="Calibri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rFonts w:ascii="Calibri" w:hAnsi="Calibri" w:cs="Calibri" w:eastAsia="Calibri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Calibri" w:hAnsi="Calibri" w:cs="Calibri" w:eastAsia="Calibri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1F3A5F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3A5F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cs="Calibri" w:eastAsia="Calibri"/>
      <w:i/>
      <w:bCs/>
      <w:color w:val="1F3A5F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cs="Calibri" w:eastAsia="Calibri"/>
      <w:iCs/>
      <w:color w:val="1F3A5F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cs="Calibri" w:eastAsia="Calibri"/>
      <w:color w:val="1F3A5F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 w:cs="Calibri" w:eastAsia="Calibri"/>
      <w:color w:val="1F3A5F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 w:cs="Calibri" w:eastAsia="Calibri"/>
      <w:color w:val="1F3A5F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 w:cs="Calibri" w:eastAsia="Calibri"/>
      <w:color w:val="1F3A5F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Calibri" w:hAnsi="Calibri" w:cs="Calibri" w:eastAsia="Calibri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Calibri"/>
      <w:b/>
    </w:rPr>
  </w:style>
  <w:style w:type="paragraph" w:customStyle="1" w:styleId="Definition">
    <w:name w:val="Definition"/>
    <w:basedOn w:val="Normal"/>
    <w:rPr>
      <w:rFonts w:ascii="Calibri" w:hAnsi="Calibri" w:cs="Calibri" w:eastAsia="Calibri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 w:cs="Calibri" w:eastAsia="Calibri"/>
      <w:i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 w:cs="Calibri" w:eastAsia="Calibri"/>
    </w:rPr>
  </w:style>
  <w:style w:type="paragraph" w:customStyle="1" w:styleId="ImageCaption">
    <w:name w:val="Image Caption"/>
    <w:basedOn w:val="Caption"/>
    <w:rPr>
      <w:rFonts w:ascii="Calibri" w:hAnsi="Calibri" w:cs="Calibri" w:eastAsia="Calibri"/>
    </w:rPr>
  </w:style>
  <w:style w:type="paragraph" w:customStyle="1" w:styleId="Figure">
    <w:name w:val="Figure"/>
    <w:basedOn w:val="Normal"/>
    <w:rPr>
      <w:rFonts w:ascii="Calibri" w:hAnsi="Calibri" w:cs="Calibri" w:eastAsia="Calibri"/>
    </w:rPr>
  </w:style>
  <w:style w:type="paragraph" w:customStyle="1" w:styleId="CaptionedFigure">
    <w:name w:val="Captioned Figure"/>
    <w:basedOn w:val="Figure"/>
    <w:pPr>
      <w:keepNext/>
    </w:pPr>
    <w:rPr>
      <w:rFonts w:ascii="Calibri" w:hAnsi="Calibri" w:cs="Calibri" w:eastAsia="Calibri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Calibri" w:hAnsi="Calibri" w:cs="Calibri" w:eastAsia="Calibr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2026-10-06T02:29:46Z</dcterms:created>
  <dcterms:modified xsi:type="dcterms:W3CDTF">2026-10-06T02:29:46Z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