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5A1" w:rsidRPr="003E45A1" w:rsidRDefault="003E45A1" w:rsidP="003E45A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/>
        </w:rPr>
      </w:pPr>
      <w:bookmarkStart w:id="0" w:name="exercise-00--%25D1%2582%25D0%25B5%25D1%2"/>
      <w:bookmarkEnd w:id="0"/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>Exercise 00 — Терминология</w:t>
      </w:r>
    </w:p>
    <w:p w:rsidR="003E45A1" w:rsidRPr="003E45A1" w:rsidRDefault="003E45A1" w:rsidP="003E45A1">
      <w:pPr>
        <w:pStyle w:val="2"/>
        <w:pBdr>
          <w:bottom w:val="single" w:sz="2" w:space="1" w:color="FFFFFF"/>
        </w:pBdr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/>
        </w:rPr>
      </w:pPr>
      <w:bookmarkStart w:id="1" w:name="%25D1%2581%25D0%25BE%25D0%25BF%25D0%25BE"/>
      <w:bookmarkEnd w:id="1"/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>Сопоставление терминов и определений</w:t>
      </w:r>
    </w:p>
    <w:tbl>
      <w:tblPr>
        <w:tblW w:w="997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17"/>
        <w:gridCol w:w="7058"/>
      </w:tblGrid>
      <w:tr w:rsidR="003E45A1" w:rsidRPr="003E45A1" w:rsidTr="003E45A1">
        <w:trPr>
          <w:tblHeader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3E45A1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Термин</w:t>
            </w:r>
          </w:p>
        </w:tc>
        <w:tc>
          <w:tcPr>
            <w:tcW w:w="7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3E45A1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Определение/Разъяснение</w:t>
            </w:r>
          </w:p>
        </w:tc>
      </w:tr>
      <w:tr w:rsidR="003E45A1" w:rsidRPr="003E45A1" w:rsidTr="003E45A1"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45A1">
              <w:rPr>
                <w:rStyle w:val="ac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/>
              </w:rPr>
              <w:t>REST</w:t>
            </w:r>
          </w:p>
        </w:tc>
        <w:tc>
          <w:tcPr>
            <w:tcW w:w="7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45A1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Архитектурный стиль взаимодействия компонентов распределенного приложения в сети</w:t>
            </w:r>
          </w:p>
        </w:tc>
      </w:tr>
      <w:tr w:rsidR="003E45A1" w:rsidRPr="003E45A1" w:rsidTr="003E45A1"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45A1">
              <w:rPr>
                <w:rStyle w:val="ac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/>
              </w:rPr>
              <w:t>Кеширование</w:t>
            </w:r>
          </w:p>
        </w:tc>
        <w:tc>
          <w:tcPr>
            <w:tcW w:w="7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45A1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Увеличение производительности веб-приложений за счёт использования сохранённых ранее данных</w:t>
            </w:r>
          </w:p>
        </w:tc>
      </w:tr>
      <w:tr w:rsidR="003E45A1" w:rsidRPr="003E45A1" w:rsidTr="003E45A1"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45A1">
              <w:rPr>
                <w:rStyle w:val="ac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/>
              </w:rPr>
              <w:t>Масштабируемость</w:t>
            </w:r>
          </w:p>
        </w:tc>
        <w:tc>
          <w:tcPr>
            <w:tcW w:w="7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45A1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Способность системы, сети или процесса увеличивать свою производительность при добавлении ресурсов</w:t>
            </w:r>
          </w:p>
        </w:tc>
      </w:tr>
      <w:tr w:rsidR="003E45A1" w:rsidRPr="003E45A1" w:rsidTr="003E45A1"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45A1">
              <w:rPr>
                <w:rStyle w:val="ac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/>
              </w:rPr>
              <w:t>Асинхронность</w:t>
            </w:r>
          </w:p>
        </w:tc>
        <w:tc>
          <w:tcPr>
            <w:tcW w:w="70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45A1" w:rsidRPr="003E45A1" w:rsidRDefault="003E45A1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E45A1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Несовпадение, несогласованность с чем-либо во времени; неодномоментность, неодновременность</w:t>
            </w:r>
          </w:p>
        </w:tc>
      </w:tr>
    </w:tbl>
    <w:p w:rsidR="003E45A1" w:rsidRPr="003E45A1" w:rsidRDefault="003E45A1" w:rsidP="003E45A1">
      <w:pPr>
        <w:pStyle w:val="2"/>
        <w:pBdr>
          <w:bottom w:val="single" w:sz="2" w:space="1" w:color="FFFFFF"/>
        </w:pBd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%25D0%25BE%25D0%25B1%25D0%25BE%25D1%2581"/>
      <w:bookmarkEnd w:id="2"/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>Обоснование выбора:</w:t>
      </w:r>
    </w:p>
    <w:p w:rsidR="003E45A1" w:rsidRPr="003E45A1" w:rsidRDefault="003E45A1" w:rsidP="003E45A1">
      <w:pPr>
        <w:pStyle w:val="2"/>
        <w:pBdr>
          <w:bottom w:val="single" w:sz="2" w:space="1" w:color="FFFFFF"/>
        </w:pBd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5A1">
        <w:rPr>
          <w:rStyle w:val="ac"/>
          <w:rFonts w:ascii="Times New Roman" w:hAnsi="Times New Roman" w:cs="Times New Roman"/>
          <w:bCs w:val="0"/>
          <w:color w:val="000000"/>
          <w:sz w:val="28"/>
          <w:szCs w:val="28"/>
          <w:lang/>
        </w:rPr>
        <w:t>REST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 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>— это именно архитектурный стиль, а не протокол</w:t>
      </w:r>
    </w:p>
    <w:p w:rsidR="003E45A1" w:rsidRPr="003E45A1" w:rsidRDefault="003E45A1" w:rsidP="003E45A1">
      <w:pPr>
        <w:pStyle w:val="2"/>
        <w:pBdr>
          <w:bottom w:val="single" w:sz="2" w:space="1" w:color="FFFFFF"/>
        </w:pBd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5A1">
        <w:rPr>
          <w:rStyle w:val="ac"/>
          <w:rFonts w:ascii="Times New Roman" w:hAnsi="Times New Roman" w:cs="Times New Roman"/>
          <w:bCs w:val="0"/>
          <w:color w:val="000000"/>
          <w:sz w:val="28"/>
          <w:szCs w:val="28"/>
          <w:lang/>
        </w:rPr>
        <w:t>Кеширование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 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>— классическое определение механизма повышения производительности через сохранение данных</w:t>
      </w:r>
    </w:p>
    <w:p w:rsidR="003E45A1" w:rsidRPr="003E45A1" w:rsidRDefault="003E45A1" w:rsidP="003E45A1">
      <w:pPr>
        <w:pStyle w:val="2"/>
        <w:pBdr>
          <w:bottom w:val="single" w:sz="2" w:space="1" w:color="FFFFFF"/>
        </w:pBd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5A1">
        <w:rPr>
          <w:rStyle w:val="ac"/>
          <w:rFonts w:ascii="Times New Roman" w:hAnsi="Times New Roman" w:cs="Times New Roman"/>
          <w:bCs w:val="0"/>
          <w:color w:val="000000"/>
          <w:sz w:val="28"/>
          <w:szCs w:val="28"/>
          <w:lang/>
        </w:rPr>
        <w:t>Масштабируемость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 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>— способность системы расти с добавлением ресурсов (горизонтальное масштабирование)</w:t>
      </w:r>
    </w:p>
    <w:p w:rsidR="00516E45" w:rsidRPr="003E45A1" w:rsidRDefault="003E45A1" w:rsidP="003E45A1">
      <w:pPr>
        <w:pStyle w:val="2"/>
        <w:pBdr>
          <w:bottom w:val="single" w:sz="2" w:space="1" w:color="FFFFFF"/>
        </w:pBdr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5A1">
        <w:rPr>
          <w:rStyle w:val="ac"/>
          <w:rFonts w:ascii="Times New Roman" w:hAnsi="Times New Roman" w:cs="Times New Roman"/>
          <w:bCs w:val="0"/>
          <w:color w:val="000000"/>
          <w:sz w:val="28"/>
          <w:szCs w:val="28"/>
          <w:lang/>
        </w:rPr>
        <w:t>Асинхронность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 </w:t>
      </w:r>
      <w:r w:rsidRPr="003E45A1">
        <w:rPr>
          <w:rFonts w:ascii="Times New Roman" w:hAnsi="Times New Roman" w:cs="Times New Roman"/>
          <w:color w:val="000000"/>
          <w:sz w:val="28"/>
          <w:szCs w:val="28"/>
          <w:lang/>
        </w:rPr>
        <w:t>— несинхронность во времени, противоположность синхронности</w:t>
      </w:r>
    </w:p>
    <w:sectPr w:rsidR="00516E45" w:rsidRPr="003E45A1" w:rsidSect="003E45A1">
      <w:pgSz w:w="12240" w:h="15840"/>
      <w:pgMar w:top="1134" w:right="1131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urce Han Serif CN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1"/>
    <w:family w:val="auto"/>
    <w:pitch w:val="variable"/>
  </w:font>
  <w:font w:name="Noto Sans Mono CJK SC"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3E45A1"/>
    <w:rsid w:val="00516E45"/>
    <w:rsid w:val="0076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EA801C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5A1"/>
    <w:pPr>
      <w:widowControl w:val="0"/>
      <w:suppressAutoHyphens/>
      <w:spacing w:after="0" w:line="240" w:lineRule="auto"/>
    </w:pPr>
    <w:rPr>
      <w:rFonts w:ascii="Liberation Serif" w:eastAsia="Source Han Serif CN" w:hAnsi="Liberation Serif" w:cs="Noto Sans"/>
      <w:kern w:val="0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E45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16E45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E45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character" w:styleId="ac">
    <w:name w:val="Strong"/>
    <w:qFormat/>
    <w:rsid w:val="003E45A1"/>
    <w:rPr>
      <w:b/>
      <w:bCs/>
    </w:rPr>
  </w:style>
  <w:style w:type="paragraph" w:customStyle="1" w:styleId="PreformattedText">
    <w:name w:val="Preformatted Text"/>
    <w:basedOn w:val="a"/>
    <w:qFormat/>
    <w:rsid w:val="003E45A1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rsid w:val="003E45A1"/>
    <w:pPr>
      <w:suppressLineNumbers/>
    </w:pPr>
  </w:style>
  <w:style w:type="paragraph" w:customStyle="1" w:styleId="TableHeading">
    <w:name w:val="Table Heading"/>
    <w:basedOn w:val="TableContents"/>
    <w:qFormat/>
    <w:rsid w:val="003E45A1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2026-06-05T07:25:00Z</dcterms:modified>
</cp:coreProperties>
</file>