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color w:val="000000"/>
          <w:kern w:val="2"/>
          <w:sz w:val="24"/>
        </w:rPr>
        <w:t>МИНИСТЕРСТВО НАУКИ И ВЫСШЕГО ОБРАЗОВАНИЯ РОССИЙСКОЙ ФЕДЕРАЦИИ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caps/>
          <w:color w:val="000000"/>
          <w:kern w:val="2"/>
          <w:sz w:val="24"/>
        </w:rPr>
        <w:t xml:space="preserve">ФЕДЕРАЛЬНОЕ государственное БЮДЖЕТНОЕ 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caps/>
          <w:color w:val="000000"/>
          <w:kern w:val="2"/>
          <w:sz w:val="24"/>
        </w:rPr>
        <w:t>образовательное учреждение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caps/>
          <w:color w:val="000000"/>
          <w:kern w:val="2"/>
          <w:sz w:val="24"/>
        </w:rPr>
        <w:t>высшего образования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bCs/>
          <w:color w:val="000000"/>
          <w:kern w:val="2"/>
          <w:sz w:val="24"/>
        </w:rPr>
        <w:t>«НОВОСИБИРСКИЙ ГОСУДАРСТВЕННЫЙ ТЕХНИЧЕСКИЙ УНИВЕРСИТЕТ»</w:t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color w:val="000000"/>
          <w:kern w:val="2"/>
          <w:szCs w:val="28"/>
        </w:rPr>
      </w:pPr>
      <w:r>
        <w:rPr>
          <w:rFonts w:eastAsia="+mn-ea"/>
          <w:color w:val="000000"/>
          <w:kern w:val="2"/>
          <w:szCs w:val="28"/>
        </w:rPr>
        <w:t>_________________________________________________________________</w:t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color w:val="000000"/>
          <w:kern w:val="2"/>
          <w:szCs w:val="28"/>
        </w:rPr>
      </w:pPr>
      <w:r>
        <w:rPr>
          <w:rFonts w:eastAsia="+mn-ea"/>
          <w:color w:val="000000"/>
          <w:kern w:val="2"/>
          <w:szCs w:val="28"/>
        </w:rPr>
      </w:r>
    </w:p>
    <w:p>
      <w:pPr>
        <w:pStyle w:val="Normal"/>
        <w:spacing w:before="96" w:after="0"/>
        <w:ind w:hanging="547" w:start="547"/>
        <w:jc w:val="center"/>
        <w:rPr>
          <w:szCs w:val="28"/>
        </w:rPr>
      </w:pPr>
      <w:r>
        <w:rPr>
          <w:rFonts w:eastAsia="+mn-ea"/>
          <w:color w:val="000000"/>
          <w:kern w:val="2"/>
          <w:szCs w:val="28"/>
        </w:rPr>
        <w:t>Кафедра защиты информации</w:t>
      </w:r>
    </w:p>
    <w:p>
      <w:pPr>
        <w:pStyle w:val="Normal"/>
        <w:spacing w:before="96" w:after="0"/>
        <w:ind w:hanging="547" w:start="547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76" w:before="0" w:after="200"/>
        <w:jc w:val="center"/>
        <w:rPr>
          <w:rFonts w:eastAsia="Calibri"/>
          <w:i/>
          <w:i/>
          <w:szCs w:val="22"/>
          <w:lang w:eastAsia="en-US"/>
        </w:rPr>
      </w:pPr>
      <w:r>
        <w:rPr/>
        <w:drawing>
          <wp:inline distT="0" distB="0" distL="0" distR="0">
            <wp:extent cx="2708275" cy="928370"/>
            <wp:effectExtent l="0" t="0" r="0" b="0"/>
            <wp:docPr id="1" name="Рисунок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center"/>
        <w:rPr>
          <w:rFonts w:eastAsia="Calibri"/>
          <w:i/>
          <w:i/>
          <w:szCs w:val="22"/>
          <w:lang w:eastAsia="en-US"/>
        </w:rPr>
      </w:pPr>
      <w:r>
        <w:rPr>
          <w:rFonts w:eastAsia="Calibri"/>
          <w:i/>
          <w:szCs w:val="22"/>
          <w:lang w:eastAsia="en-US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ЛАБОРАТОРНАЯ РАБОТА №</w:t>
      </w:r>
      <w:r>
        <w:rPr>
          <w:b/>
          <w:sz w:val="32"/>
        </w:rPr>
        <w:t>2</w:t>
      </w:r>
      <w:r>
        <w:rPr>
          <w:b/>
          <w:sz w:val="32"/>
        </w:rPr>
        <w:t xml:space="preserve"> </w:t>
      </w:r>
    </w:p>
    <w:p>
      <w:pPr>
        <w:pStyle w:val="Normal"/>
        <w:jc w:val="center"/>
        <w:rPr>
          <w:b/>
        </w:rPr>
      </w:pPr>
      <w:r>
        <w:rPr>
          <w:b/>
        </w:rPr>
        <w:t xml:space="preserve">по дисциплине: «Программирование» 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</w:rPr>
        <w:t>на тему: «</w:t>
      </w:r>
      <w:r>
        <w:rPr>
          <w:b/>
          <w:bCs/>
        </w:rPr>
        <w:t>Алгоритмы и абстрактные структуры данных</w:t>
      </w:r>
      <w:r>
        <w:rPr>
          <w:b/>
        </w:rPr>
        <w:t>»</w:t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before="0" w:after="200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before="0" w:after="200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tbl>
      <w:tblPr>
        <w:tblW w:w="99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3"/>
        <w:gridCol w:w="4747"/>
      </w:tblGrid>
      <w:tr>
        <w:trPr/>
        <w:tc>
          <w:tcPr>
            <w:tcW w:w="5243" w:type="dxa"/>
            <w:tcBorders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Выполнил:</w:t>
            </w:r>
          </w:p>
          <w:p>
            <w:pPr>
              <w:pStyle w:val="Normal"/>
              <w:spacing w:before="0" w:after="200"/>
              <w:rPr>
                <w:rFonts w:eastAsia="Calibri"/>
                <w:szCs w:val="22"/>
                <w:lang w:eastAsia="en-US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rFonts w:eastAsia="Calibri"/>
                <w:szCs w:val="22"/>
                <w:lang w:eastAsia="en-US"/>
              </w:rPr>
              <w:t>«АИ</w:t>
            </w:r>
            <w:r>
              <w:rPr>
                <w:rFonts w:eastAsia="Calibri"/>
                <w:iCs/>
                <w:szCs w:val="22"/>
                <w:lang w:eastAsia="en-US"/>
              </w:rPr>
              <w:t>-42»</w:t>
            </w:r>
            <w:r>
              <w:rPr>
                <w:rFonts w:eastAsia="Calibri"/>
                <w:szCs w:val="22"/>
                <w:lang w:eastAsia="en-US"/>
              </w:rPr>
              <w:t xml:space="preserve">, «АВТФ», </w:t>
            </w:r>
          </w:p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Зиновьев Александр Евгеньевич</w:t>
            </w:r>
          </w:p>
          <w:p>
            <w:pPr>
              <w:pStyle w:val="Normal"/>
              <w:spacing w:before="0" w:after="200"/>
              <w:rPr>
                <w:rFonts w:eastAsia="+mn-ea"/>
                <w:color w:val="000000"/>
                <w:kern w:val="2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 xml:space="preserve"> </w:t>
            </w: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>«___» ______ 2025г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>
            <w:pPr>
              <w:pStyle w:val="Normal"/>
              <w:spacing w:before="0" w:after="200"/>
              <w:jc w:val="both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</w:tc>
        <w:tc>
          <w:tcPr>
            <w:tcW w:w="4747" w:type="dxa"/>
            <w:tcBorders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Проверил:</w:t>
            </w:r>
          </w:p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Ассистент </w:t>
            </w:r>
            <w:r>
              <w:rPr>
                <w:i/>
                <w:szCs w:val="28"/>
              </w:rPr>
              <w:t>кафедры ЗИ</w:t>
            </w:r>
          </w:p>
          <w:p>
            <w:pPr>
              <w:pStyle w:val="Normal"/>
              <w:spacing w:before="0" w:after="200"/>
              <w:rPr>
                <w:i/>
                <w:i/>
                <w:iCs/>
                <w:szCs w:val="28"/>
              </w:rPr>
            </w:pPr>
            <w:r>
              <w:rPr>
                <w:i/>
                <w:iCs/>
                <w:szCs w:val="28"/>
              </w:rPr>
              <w:t>Исаев Глеб Андреевич</w:t>
            </w:r>
          </w:p>
          <w:p>
            <w:pPr>
              <w:pStyle w:val="Normal"/>
              <w:spacing w:before="0" w:after="200"/>
              <w:rPr>
                <w:rFonts w:eastAsia="+mn-ea"/>
                <w:color w:val="000000"/>
                <w:kern w:val="2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 xml:space="preserve"> </w:t>
            </w: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>«___» ______ 2025г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p>
      <w:pPr>
        <w:pStyle w:val="Normal"/>
        <w:spacing w:before="0" w:after="160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val="en-US" w:eastAsia="en-US"/>
        </w:rPr>
        <w:t xml:space="preserve">                                                           </w:t>
      </w:r>
      <w:r>
        <w:rPr>
          <w:rFonts w:eastAsia="Calibri"/>
          <w:szCs w:val="22"/>
          <w:lang w:val="en-US" w:eastAsia="en-US"/>
        </w:rPr>
        <w:t>Новосибирск 2025</w:t>
      </w:r>
    </w:p>
    <w:p>
      <w:pPr>
        <w:sectPr>
          <w:type w:val="nextPage"/>
          <w:pgSz w:w="11906" w:h="16838"/>
          <w:pgMar w:left="1700" w:right="849" w:gutter="0" w:header="0" w:top="1132" w:footer="0" w:bottom="1132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360" w:charSpace="4096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jc w:val="center"/>
            <w:rPr>
              <w:szCs w:val="28"/>
            </w:rPr>
          </w:pPr>
          <w:r>
            <w:rPr>
              <w:szCs w:val="28"/>
            </w:rPr>
            <w:t>СОДЕРЖАНИЕ</w:t>
          </w:r>
        </w:p>
        <w:p>
          <w:pPr>
            <w:pStyle w:val="Normal"/>
            <w:jc w:val="center"/>
            <w:rPr>
              <w:szCs w:val="28"/>
              <w:lang w:val="en-US"/>
            </w:rPr>
          </w:pPr>
          <w:r>
            <w:rPr>
              <w:szCs w:val="28"/>
              <w:lang w:val="en-US"/>
            </w:rPr>
          </w:r>
        </w:p>
        <w:p>
          <w:pPr>
            <w:pStyle w:val="TOC1"/>
            <w:tabs>
              <w:tab w:val="clear" w:pos="10946"/>
              <w:tab w:val="right" w:pos="9345" w:leader="dot"/>
            </w:tabs>
            <w:rPr>
              <w:rFonts w:ascii="Calibri" w:hAnsi="Calibri"/>
              <w:kern w:val="2"/>
              <w:sz w:val="24"/>
            </w:rPr>
          </w:pPr>
          <w:r>
            <w:fldChar w:fldCharType="begin"/>
          </w:r>
          <w:r>
            <w:rPr>
              <w:rStyle w:val="IndexLink"/>
              <w:bCs/>
            </w:rPr>
            <w:instrText xml:space="preserve"> TOC \o "1-3" \h</w:instrText>
          </w:r>
          <w:r>
            <w:rPr>
              <w:rStyle w:val="IndexLink"/>
              <w:bCs/>
            </w:rPr>
            <w:fldChar w:fldCharType="separate"/>
          </w:r>
          <w:hyperlink w:anchor="_Toc196301942">
            <w:r>
              <w:rPr>
                <w:rStyle w:val="IndexLink"/>
                <w:bCs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_Toc196301942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10946"/>
              <w:tab w:val="right" w:pos="9345" w:leader="dot"/>
            </w:tabs>
            <w:rPr>
              <w:rFonts w:ascii="Calibri" w:hAnsi="Calibri"/>
              <w:kern w:val="2"/>
              <w:sz w:val="24"/>
            </w:rPr>
          </w:pPr>
          <w:hyperlink w:anchor="_Toc196301943">
            <w:r>
              <w:rPr>
                <w:rStyle w:val="IndexLink"/>
                <w:bCs/>
              </w:rPr>
              <w:t>Ход выполнения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_Toc196301943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10946"/>
              <w:tab w:val="right" w:pos="9345" w:leader="dot"/>
            </w:tabs>
            <w:rPr>
              <w:rFonts w:ascii="Calibri" w:hAnsi="Calibri"/>
              <w:kern w:val="2"/>
              <w:sz w:val="24"/>
            </w:rPr>
          </w:pPr>
          <w:hyperlink w:anchor="_Toc196301944">
            <w:r>
              <w:rPr>
                <w:rStyle w:val="IndexLink"/>
                <w:bCs/>
              </w:rPr>
              <w:t>Вывод</w:t>
            </w:r>
            <w:r>
              <w:rPr>
                <w:rStyle w:val="IndexLink"/>
                <w:vanish w:val="false"/>
              </w:rPr>
              <w:tab/>
            </w:r>
          </w:hyperlink>
          <w:r>
            <w:rPr>
              <w:vanish w:val="false"/>
            </w:rPr>
            <w:t>9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rPr>
          <w:lang w:val="en-US"/>
        </w:rPr>
      </w:pPr>
      <w:r>
        <w:rPr>
          <w:lang w:val="en-US"/>
        </w:rPr>
      </w:r>
    </w:p>
    <w:p>
      <w:pPr>
        <w:pStyle w:val="Heading1"/>
        <w:spacing w:before="0" w:after="144"/>
        <w:ind w:hanging="0" w:start="0"/>
        <w:jc w:val="center"/>
        <w:rPr>
          <w:rFonts w:ascii="Times New Roman" w:hAnsi="Times New Roman"/>
          <w:b/>
          <w:bCs/>
          <w:color w:themeColor="accent1" w:themeShade="bf" w:val="000000"/>
          <w:sz w:val="30"/>
          <w:szCs w:val="30"/>
        </w:rPr>
      </w:pPr>
      <w:r>
        <w:rPr>
          <w:rFonts w:ascii="Times New Roman" w:hAnsi="Times New Roman"/>
          <w:b/>
          <w:bCs/>
          <w:color w:themeColor="accent1" w:themeShade="bf" w:val="000000"/>
          <w:sz w:val="30"/>
          <w:szCs w:val="30"/>
        </w:rPr>
      </w:r>
      <w:r>
        <w:br w:type="page"/>
      </w:r>
    </w:p>
    <w:p>
      <w:pPr>
        <w:pStyle w:val="Heading1"/>
        <w:spacing w:before="0" w:after="0"/>
        <w:ind w:firstLine="709" w:start="0"/>
        <w:jc w:val="center"/>
        <w:rPr>
          <w:rFonts w:cs="Times New Roman"/>
          <w:b w:val="false"/>
          <w:bCs/>
          <w:sz w:val="28"/>
          <w:szCs w:val="28"/>
        </w:rPr>
      </w:pPr>
      <w:bookmarkStart w:id="0" w:name="_Toc196301942"/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ВВЕДЕНИЕ</w:t>
      </w:r>
      <w:bookmarkEnd w:id="0"/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 xml:space="preserve">1. 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Стек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 xml:space="preserve">2. 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АТД Множество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3. Множество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4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 xml:space="preserve">. 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Массив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5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 xml:space="preserve">. 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Двоичное дерево (красно-чёрное)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6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 xml:space="preserve">.  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Хеш-таблица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7. LFU кэш</w:t>
      </w:r>
    </w:p>
    <w:p>
      <w:pPr>
        <w:pStyle w:val="Normal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Обратная польская запись Постфиксная (или обратная польская) запись арифметического выражения — это способ записи выражений, в котором знак операции записывается после операндов. Так, операторы больше не являются неоднозначными по отношению к своим операндам. Например, запишем выражение 3+1*4 в постфиксную форму и произведем вычисление. В постфиксной форме получим выражение 314*+. Мы умножаем числа 4 и 1, и результат складываем с 3. Необходимо реализовать алгоритм, который вычисляет выражения в обратной польской записи с использованием стека. </w:t>
      </w:r>
    </w:p>
    <w:p>
      <w:pPr>
        <w:pStyle w:val="Normal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Реализовать основные операции со множеством: добавление элемента, удаление элемента, проверка наличия элемента в множестве</w:t>
      </w:r>
    </w:p>
    <w:p>
      <w:pPr>
        <w:pStyle w:val="Normal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Максимальное количество пересечений. Даны несколько подмножеств множества натуральных чисел. Необходимо найти два множества, которые имеют максимальное количество общих элементов. Пример: 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Ввод: {{1, 2, 3}, {2, 3, 4}, {5, 6}, {3, 4, 5}}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Вывод: {{2, 3, 4}, {3, 4, 5}}, количество общих элементов: 2 (элементы 3 и 4)</w:t>
      </w:r>
    </w:p>
    <w:p>
      <w:pPr>
        <w:pStyle w:val="Normal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Пирамида. Для строительства двумерной пирамиды используются прямоугольные блоки, каждый из которых характеризуется шириной и высотой. Можно поставить один блок на другой, только если ширина верхнего блока строго меньше ширины нижнего (блоки нельзя поворачивать). Самым нижним в пирамиде может быть блок любой ширины. По заданному набору блоков определите, пирамиду какой наибольшей высоты можно из них построить. В первой строке входных данных задается число N — количество блоков (1≤N≤100000). В следующих N строках задаются пары натуральных чисел 𝒘𝒊 и 𝒉𝒊 (1 ≤ 𝒘𝒊, 𝒉𝒊 ≤ 109 ) — ширина и высота блока соответственно.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Пример: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Ввод: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3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3 1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2 2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3 3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Вывод: 5</w:t>
      </w:r>
    </w:p>
    <w:p>
      <w:pPr>
        <w:pStyle w:val="Normal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АВЛ-сбалансированность (реализованная на КЧ дереве, в папке с заданием есть изображение с вариантом КЧ дерева не авл сбалансированным) Дерево называется АВЛ-сбалансированным, если для любой его вершины высота левого и правого поддерева для этой вершины различаются не более чем на 1. Вводится последовательность целых чисел, оканчивающаяся нулем. Сам ноль в последовательность не входит. Постройте дерево, соответствующее данной последовательности. Определите, является ли дерево сбалансированным, выведите слово YES или NO. Пример: Ввод: 7 3 2 1 9 5 4 6 8 0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Вывод: YES</w:t>
      </w:r>
    </w:p>
    <w:p>
      <w:pPr>
        <w:pStyle w:val="Normal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Преобразование целого числа в римскую цифру. Дан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целое число, необходимо преобразовать его в строку, представляющую это число в римской системе счисления. Римские цифры формируются на основе набора символов с фиксированными значениями: I = 1, V = 5, X = 10, L = 50, C = 100, D = 500, M = 1000. Цифры записываются путем сложения соответствующих значений, начиная с наибольшего символа. В некоторых случаях используется форма вычитания, когда меньший символ предшествует большему. Такие случаи включают числа, оканчивающиеся на 4 или 9 (например, IV для 4 и IX для 9). Последовательные символы, представляющие степени десяти (I, X, C, M), могут повторяться не более трех раз подряд. Задача заключается в том, чтобы на основе этих правил, преобразовать данное число в римскую цифру. Пример: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Ввод: 3749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Вывод: “MMMDCCXLIX”</w:t>
      </w:r>
    </w:p>
    <w:p>
      <w:pPr>
        <w:pStyle w:val="Normal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259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LFU кэш Разработайте  структуру данных, которая работает как кэш LeastFrequentlyUsed. На вход подается запрос, который может быть двух типов: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SET x y: устанавливает значение ключа x со значением y. Если кэш достигает своей емкости, должен быть аннулирован элемент, к которому обращались реже всего.</w:t>
        <w:br/>
        <w:t>GET x: возвращает ключ x, если он присутствует, иначе возвращает -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1.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Весь код находится в репозитории: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https://github.com/WhereIsSolar/3Sem_1Lab</w:t>
      </w:r>
      <w:r>
        <w:br w:type="page"/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center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ХОД ВЫПОЛНЕНИЯ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Задание 1.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 xml:space="preserve">Постфиксная (или обратная польская) запись арифметического выражения — это способ записи выражений, в котором знак операции записывается после операндов. Так, операторы больше не являются неоднозначными по отношению 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к операндам. Моя идея в том, чтобы при чтении записывать числа в стэк (первые всегда числа, ибо обратная польская запись), а потом последовательно применять к ним прочитанные операторы (рисунок 1).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6417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6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Рисунок 1 — Главная функция для решения уравнения записанного в виде обратной польской записи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В силу того, что множество из 2 задания основывается на хеш-таблице, а 3 задание основывается на 2 задании, то есть множестве, я начал делать 4, 5 задание (2 и 3 рисунки).</w:t>
        <w:br/>
        <w:t>В 4 задании, выполняющимся на массиве, я реализовал алгоритм нахождения максимальной высоты блоков из введённых. Бо</w:t>
      </w:r>
      <w:r>
        <w:rPr>
          <w:rFonts w:eastAsia="Adwaita Mono" w:cs="Adwaita Mono" w:ascii="Adwaita Mono" w:hAnsi="Adwaita Mono"/>
          <w:b w:val="false"/>
          <w:bCs/>
          <w:color w:val="000000"/>
          <w:sz w:val="28"/>
          <w:szCs w:val="28"/>
        </w:rPr>
        <w:t>́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льшую часть алгоритма можно наблюдать на рисунке 2.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49351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9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2 — Задание 4 для массива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В задании 5 наша задача реализовать проверку на АВЛ сбаланированность дерева. В силу того, что я применял красно-чёрное дерево для задания, то бо</w:t>
      </w:r>
      <w:r>
        <w:rPr>
          <w:rFonts w:eastAsia="Adwaita Mono" w:cs="Adwaita Mono" w:ascii="Adwaita Mono" w:hAnsi="Adwaita Mono"/>
          <w:b w:val="false"/>
          <w:bCs w:val="false"/>
          <w:color w:val="000000"/>
          <w:sz w:val="28"/>
          <w:szCs w:val="28"/>
        </w:rPr>
        <w:t>́</w:t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льшая часть деревьев проходит проверку, но, тем не менее, не красно-чёрные деревья не всегда идеально балансируют</w:t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. Часть реализации на рисунке 3, случай отрицательной проверки на АВЛ баланс на рисунке 4.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85787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5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3 — Часть реализации проверки на баланс АВЛ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3284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4 — Вариант дерева, который не проходит проверку на АВЛ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В 6 задании я согласно варианту осуществлял двойное хеширование (которое я использовал и для других АСД), хеширование кукушки. Часть реализации хеширования кукушки представлена на рисунке 5, реализация двойного на рисунке 6, проверка работоспособности кода на рисунке 7.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4924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4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5 — Часть реализации хеширования кукушки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79894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9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6 — Часть реализации двойного хеширования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807200"/>
            <wp:effectExtent l="0" t="0" r="0" b="0"/>
            <wp:wrapSquare wrapText="largest"/>
            <wp:docPr id="8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0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7 — Проверка работоспособности хеширования кукушки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После написания 6 задания я последовательно выполнил задания с множеством (2, 3 задания) и LFU-кэшем (7 задание). На рисунке 8 и 9 представлены часть кода для 2 и 7 заданий.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0" w:end="0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hanging="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01105"/>
            <wp:effectExtent l="0" t="0" r="0" b="0"/>
            <wp:wrapSquare wrapText="largest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01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8 — Часть реализации АСД множество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hanging="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hanging="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743065"/>
            <wp:effectExtent l="0" t="0" r="0" b="0"/>
            <wp:wrapSquare wrapText="largest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4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9 — Часть реализации АСД LFU кэш</w:t>
      </w:r>
      <w:r>
        <w:br w:type="page"/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center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ВЫВОД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 xml:space="preserve">В ходе выполнения работы была проведена комплексная реализация и анализ основных абстрактных структур данных. Реализованы 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множества, LFU-кэш, хеш-таблицы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 xml:space="preserve"> с полным набором базовых операций. Каждая структура данных была протестирована на различных наборах исходных данных, что подтвердило корректность реализации алгоритмов.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Для задач, направленных на нахождение и осуществление алгоритмов для решения поставленной проблемы, алгоритмы были выявлены и реализованы на языке C++. Каждая задача была протестирована на различных наборах исходных данных, проверена во время защиты.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Разработанный интерфейс взаимодействия с пользователем обеспечивает единообразный доступ ко всем реализованным структурам данных через систему меню. Реализованные механизмы сохранения и загрузки данных из файлов позволяют обеспечить сохранность состояния структур данных между сеансами работы программы.</w:t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/>
      </w:r>
    </w:p>
    <w:sectPr>
      <w:footerReference w:type="default" r:id="rId12"/>
      <w:footerReference w:type="first" r:id="rId13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default"/>
  </w:font>
  <w:font w:name="Calibri Light">
    <w:charset w:val="01" w:characterSet="utf-8"/>
    <w:family w:val="roman"/>
    <w:pitch w:val="default"/>
  </w:font>
  <w:font w:name="OpenSymbol">
    <w:altName w:val="Arial Unicode MS"/>
    <w:charset w:val="01" w:characterSet="utf-8"/>
    <w:family w:val="roman"/>
    <w:pitch w:val="default"/>
  </w:font>
  <w:font w:name="Liberation Sans">
    <w:altName w:val="Arial"/>
    <w:charset w:val="01" w:characterSet="utf-8"/>
    <w:family w:val="swiss"/>
    <w:pitch w:val="default"/>
  </w:font>
  <w:font w:name="Courier New">
    <w:charset w:val="01" w:characterSet="utf-8"/>
    <w:family w:val="roman"/>
    <w:pitch w:val="default"/>
  </w:font>
  <w:font w:name="Liberation Mono">
    <w:altName w:val="Courier New"/>
    <w:charset w:val="01" w:characterSet="utf-8"/>
    <w:family w:val="roman"/>
    <w:pitch w:val="default"/>
  </w:font>
  <w:font w:name="Times New Roman">
    <w:charset w:val="01" w:characterSet="utf-8"/>
    <w:family w:val="roman"/>
    <w:pitch w:val="default"/>
  </w:font>
  <w:font w:name="Adwaita Mono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Nastaliq Urdu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Nastaliq Urdu"/>
      <w:color w:val="auto"/>
      <w:kern w:val="2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Nastaliq Urdu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Nastaliq Urdu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Nastaliq Urdu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Nastaliq Urdu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Nastaliq Urdu"/>
      <w:color w:themeColor="accent1" w:themeShade="bf" w:val="2F5496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Nastaliq Urdu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Nastaliq Urdu"/>
      <w:color w:themeColor="dark1" w:themeTint="a6" w:val="595959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Nastaliq Urdu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Nastaliq Urdu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Noto Nastaliq Urdu"/>
      <w:color w:themeColor="accent1" w:themeShade="bf" w:val="2F5496"/>
      <w:sz w:val="40"/>
      <w:szCs w:val="40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Noto Nastaliq Urdu"/>
      <w:color w:themeColor="accent1" w:themeShade="bf" w:val="2F5496"/>
      <w:sz w:val="32"/>
      <w:szCs w:val="32"/>
    </w:rPr>
  </w:style>
  <w:style w:type="character" w:styleId="3">
    <w:name w:val="Заголовок 3 Знак"/>
    <w:basedOn w:val="DefaultParagraphFont"/>
    <w:link w:val="Heading3"/>
    <w:qFormat/>
    <w:rPr>
      <w:rFonts w:eastAsia="Calibri" w:cs="Noto Nastaliq Urdu"/>
      <w:color w:themeColor="accent1" w:themeShade="bf" w:val="2F5496"/>
      <w:sz w:val="28"/>
      <w:szCs w:val="28"/>
    </w:rPr>
  </w:style>
  <w:style w:type="character" w:styleId="4">
    <w:name w:val="Заголовок 4 Знак"/>
    <w:basedOn w:val="DefaultParagraphFont"/>
    <w:link w:val="Heading4"/>
    <w:qFormat/>
    <w:rPr>
      <w:rFonts w:eastAsia="Calibri" w:cs="Noto Nastaliq Urdu"/>
      <w:i/>
      <w:iCs/>
      <w:color w:themeColor="accent1" w:themeShade="bf" w:val="2F5496"/>
    </w:rPr>
  </w:style>
  <w:style w:type="character" w:styleId="5">
    <w:name w:val="Заголовок 5 Знак"/>
    <w:basedOn w:val="DefaultParagraphFont"/>
    <w:link w:val="Heading5"/>
    <w:qFormat/>
    <w:rPr>
      <w:rFonts w:eastAsia="Calibri" w:cs="Noto Nastaliq Urdu"/>
      <w:color w:themeColor="accent1" w:themeShade="bf" w:val="2F5496"/>
    </w:rPr>
  </w:style>
  <w:style w:type="character" w:styleId="6">
    <w:name w:val="Заголовок 6 Знак"/>
    <w:basedOn w:val="DefaultParagraphFont"/>
    <w:link w:val="Heading6"/>
    <w:qFormat/>
    <w:rPr>
      <w:rFonts w:eastAsia="Calibri" w:cs="Noto Nastaliq Urdu"/>
      <w:i/>
      <w:iCs/>
      <w:color w:themeColor="dark1" w:themeTint="a6" w:val="595959"/>
    </w:rPr>
  </w:style>
  <w:style w:type="character" w:styleId="7">
    <w:name w:val="Заголовок 7 Знак"/>
    <w:basedOn w:val="DefaultParagraphFont"/>
    <w:link w:val="Heading7"/>
    <w:qFormat/>
    <w:rPr>
      <w:rFonts w:eastAsia="Calibri" w:cs="Noto Nastaliq Urdu"/>
      <w:color w:themeColor="dark1" w:themeTint="a6" w:val="595959"/>
    </w:rPr>
  </w:style>
  <w:style w:type="character" w:styleId="8">
    <w:name w:val="Заголовок 8 Знак"/>
    <w:basedOn w:val="DefaultParagraphFont"/>
    <w:link w:val="Heading8"/>
    <w:qFormat/>
    <w:rPr>
      <w:rFonts w:eastAsia="Calibri" w:cs="Noto Nastaliq Urdu"/>
      <w:i/>
      <w:iCs/>
      <w:color w:themeColor="dark1" w:themeTint="d8" w:val="272727"/>
    </w:rPr>
  </w:style>
  <w:style w:type="character" w:styleId="9">
    <w:name w:val="Заголовок 9 Знак"/>
    <w:basedOn w:val="DefaultParagraphFont"/>
    <w:link w:val="Heading9"/>
    <w:qFormat/>
    <w:rPr>
      <w:rFonts w:eastAsia="Calibri" w:cs="Noto Nastaliq Urdu"/>
      <w:color w:themeColor="dark1" w:themeTint="d8" w:val="272727"/>
    </w:rPr>
  </w:style>
  <w:style w:type="character" w:styleId="Style5">
    <w:name w:val="Заголовок Знак"/>
    <w:basedOn w:val="DefaultParagraphFont"/>
    <w:link w:val="Title"/>
    <w:qFormat/>
    <w:rPr>
      <w:rFonts w:ascii="Calibri Light" w:hAnsi="Calibri Light" w:eastAsia="Calibri" w:cs="Noto Nastaliq Urdu"/>
      <w:spacing w:val="-10"/>
      <w:kern w:val="2"/>
      <w:sz w:val="56"/>
      <w:szCs w:val="56"/>
    </w:rPr>
  </w:style>
  <w:style w:type="character" w:styleId="Style6">
    <w:name w:val="Подзаголовок Знак"/>
    <w:basedOn w:val="DefaultParagraphFont"/>
    <w:link w:val="Subtitle"/>
    <w:qFormat/>
    <w:rPr>
      <w:rFonts w:eastAsia="Calibri" w:cs="Noto Nastaliq Urdu"/>
      <w:color w:themeColor="dark1" w:themeTint="a6" w:val="595959"/>
      <w:spacing w:val="15"/>
      <w:sz w:val="28"/>
      <w:szCs w:val="28"/>
    </w:rPr>
  </w:style>
  <w:style w:type="character" w:styleId="21">
    <w:name w:val="Цитата 2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F5496"/>
    </w:rPr>
  </w:style>
  <w:style w:type="character" w:styleId="Style7">
    <w:name w:val="Выделенная цитата Знак"/>
    <w:basedOn w:val="DefaultParagraphFont"/>
    <w:link w:val="IntenseQuote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F5496"/>
      <w:spacing w:val="5"/>
    </w:rPr>
  </w:style>
  <w:style w:type="character" w:styleId="Style8">
    <w:name w:val="Основной текст с отступом Знак"/>
    <w:basedOn w:val="DefaultParagraphFont"/>
    <w:qFormat/>
    <w:rPr/>
  </w:style>
  <w:style w:type="character" w:styleId="Style9">
    <w:name w:val="Основной текст Знак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qFormat/>
    <w:pPr>
      <w:spacing w:lineRule="auto" w:line="240" w:before="0" w:after="80"/>
      <w:contextualSpacing/>
    </w:pPr>
    <w:rPr>
      <w:rFonts w:ascii="Calibri Light" w:hAnsi="Calibri Light" w:eastAsia="Calibri" w:cs="Noto Nastaliq Urdu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qFormat/>
    <w:pPr/>
    <w:rPr>
      <w:rFonts w:eastAsia="Calibri" w:cs="Noto Nastaliq Urdu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qFormat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BodyTextIndent">
    <w:name w:val="Body Text Indent"/>
    <w:basedOn w:val="Normal"/>
    <w:link w:val="Style8"/>
    <w:pPr>
      <w:spacing w:before="0" w:after="120"/>
      <w:ind w:start="283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tyle10">
    <w:name w:val="Текст"/>
    <w:basedOn w:val="Normal"/>
    <w:qFormat/>
    <w:pPr/>
    <w:rPr>
      <w:rFonts w:ascii="Courier New" w:hAnsi="Courier New" w:cs="Courier New"/>
      <w:vertAlign w:val="superscript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8"/>
        <w:tab w:val="right" w:pos="10946" w:leader="dot"/>
      </w:tabs>
      <w:ind w:hanging="0" w:start="0"/>
    </w:pPr>
    <w:rPr/>
  </w:style>
  <w:style w:type="paragraph" w:styleId="TOC3">
    <w:name w:val="toc 3"/>
    <w:basedOn w:val="Index"/>
    <w:pPr>
      <w:tabs>
        <w:tab w:val="clear" w:pos="708"/>
        <w:tab w:val="right" w:pos="10379" w:leader="dot"/>
      </w:tabs>
      <w:ind w:hanging="0" w:start="567"/>
    </w:pPr>
    <w:rPr/>
  </w:style>
  <w:style w:type="paragraph" w:styleId="TOC2">
    <w:name w:val="toc 2"/>
    <w:basedOn w:val="Index"/>
    <w:pPr>
      <w:tabs>
        <w:tab w:val="clear" w:pos="708"/>
        <w:tab w:val="right" w:pos="10663" w:leader="dot"/>
      </w:tabs>
      <w:ind w:hanging="0" w:start="283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OC4">
    <w:name w:val="toc 4"/>
    <w:basedOn w:val="Index"/>
    <w:pPr>
      <w:tabs>
        <w:tab w:val="clear" w:pos="708"/>
        <w:tab w:val="right" w:pos="10096" w:leader="dot"/>
      </w:tabs>
      <w:ind w:hanging="0" w:start="85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Application>LibreOffice/25.2.7.2$Linux_X86_64 LibreOffice_project/520$Build-2</Application>
  <AppVersion>15.0000</AppVersion>
  <Pages>13</Pages>
  <Words>1004</Words>
  <Characters>6233</Characters>
  <CharactersWithSpaces>7236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2025-03-17T05:41:00Z</dcterms:created>
  <dc:creator>Nikita Tereshenko</dc:creator>
  <dc:description/>
  <dc:language>en-US</dc:language>
  <cp:lastModifiedBy/>
  <dcterms:modified xsi:type="dcterms:W3CDTF">2025-11-26T21:04:34Z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