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F0682" w14:textId="1172CF57" w:rsidR="00403207" w:rsidRPr="00403207" w:rsidRDefault="00000000" w:rsidP="00403207">
      <w:pPr>
        <w:pStyle w:val="Title"/>
      </w:pPr>
      <w:proofErr w:type="spellStart"/>
      <w:r>
        <w:t>Py</w:t>
      </w:r>
      <w:r w:rsidR="00085E32">
        <w:t>maceutical</w:t>
      </w:r>
      <w:proofErr w:type="spellEnd"/>
      <w:r>
        <w:t xml:space="preserve"> S</w:t>
      </w:r>
      <w:r w:rsidR="00085E32">
        <w:t>tudy</w:t>
      </w:r>
      <w:r>
        <w:t xml:space="preserve"> </w:t>
      </w:r>
      <w:r w:rsidR="00085E32">
        <w:t xml:space="preserve">– </w:t>
      </w:r>
      <w:proofErr w:type="spellStart"/>
      <w:r w:rsidR="00085E32">
        <w:t>Tumour</w:t>
      </w:r>
      <w:proofErr w:type="spellEnd"/>
      <w:r w:rsidR="00085E32">
        <w:t xml:space="preserve"> Treatment in Mice</w:t>
      </w:r>
    </w:p>
    <w:p w14:paraId="0F06B121" w14:textId="42CFB9C8" w:rsidR="00403207" w:rsidRPr="00403207" w:rsidRDefault="00403207" w:rsidP="00085E32">
      <w:pPr>
        <w:pStyle w:val="Heading1"/>
        <w:jc w:val="both"/>
      </w:pPr>
      <w:r>
        <w:t>Introduction</w:t>
      </w:r>
    </w:p>
    <w:p w14:paraId="3FB11E44" w14:textId="7FF0AACC" w:rsidR="00403207" w:rsidRDefault="007C7443" w:rsidP="00085E32">
      <w:pPr>
        <w:jc w:val="both"/>
        <w:rPr>
          <w:lang w:val="en-AU"/>
        </w:rPr>
      </w:pPr>
      <w:r w:rsidRPr="007C7443">
        <w:rPr>
          <w:lang w:val="en-AU"/>
        </w:rPr>
        <w:t>As a component of the Data Analytics Bootcamp at the University of Western Australia, a comprehensive analytical review</w:t>
      </w:r>
      <w:r>
        <w:rPr>
          <w:lang w:val="en-AU"/>
        </w:rPr>
        <w:t xml:space="preserve"> </w:t>
      </w:r>
      <w:r w:rsidRPr="007C7443">
        <w:rPr>
          <w:lang w:val="en-AU"/>
        </w:rPr>
        <w:t>was undertaken concerning pharmaceutical studies on tumour treatments in mice. The dataset encompasses mouse metadata as well as the results of the study. This report articulates the methodologies adopted for data analysis, deliberates on the emergent findings, and synthesi</w:t>
      </w:r>
      <w:r w:rsidR="00037AD4">
        <w:rPr>
          <w:lang w:val="en-AU"/>
        </w:rPr>
        <w:t>s</w:t>
      </w:r>
      <w:r w:rsidRPr="007C7443">
        <w:rPr>
          <w:lang w:val="en-AU"/>
        </w:rPr>
        <w:t xml:space="preserve">es conclusions and recommendations to potentially propel future research </w:t>
      </w:r>
      <w:r w:rsidR="00085E32" w:rsidRPr="007C7443">
        <w:rPr>
          <w:lang w:val="en-AU"/>
        </w:rPr>
        <w:t>endeavours</w:t>
      </w:r>
      <w:r w:rsidRPr="007C7443">
        <w:rPr>
          <w:lang w:val="en-AU"/>
        </w:rPr>
        <w:t>.</w:t>
      </w:r>
    </w:p>
    <w:p w14:paraId="177C7C6F" w14:textId="3FCE5DD7" w:rsidR="007C7443" w:rsidRPr="007C7443" w:rsidRDefault="00085E32" w:rsidP="00085E32">
      <w:pPr>
        <w:pStyle w:val="Heading1"/>
        <w:jc w:val="both"/>
      </w:pPr>
      <w:r>
        <w:t>Methodology</w:t>
      </w:r>
    </w:p>
    <w:p w14:paraId="6F939A9C" w14:textId="6892718F" w:rsidR="007C7443" w:rsidRDefault="007C7443" w:rsidP="00085E32">
      <w:pPr>
        <w:jc w:val="both"/>
        <w:rPr>
          <w:lang w:val="en-AU"/>
        </w:rPr>
      </w:pPr>
      <w:r>
        <w:rPr>
          <w:lang w:val="en-AU"/>
        </w:rPr>
        <w:t xml:space="preserve">The challenge provided the desired analysis methodology </w:t>
      </w:r>
      <w:r>
        <w:rPr>
          <w:lang w:val="en-AU"/>
        </w:rPr>
        <w:t>using Pandas and Matplotlib libraries in Python</w:t>
      </w:r>
      <w:r>
        <w:rPr>
          <w:lang w:val="en-AU"/>
        </w:rPr>
        <w:t>, to perform the following tasks:</w:t>
      </w:r>
    </w:p>
    <w:p w14:paraId="21BF70BD" w14:textId="4B49A919" w:rsidR="007C7443" w:rsidRDefault="007C7443" w:rsidP="00085E32">
      <w:pPr>
        <w:pStyle w:val="ListParagraph"/>
        <w:numPr>
          <w:ilvl w:val="0"/>
          <w:numId w:val="15"/>
        </w:numPr>
        <w:jc w:val="both"/>
        <w:rPr>
          <w:lang w:val="en-AU"/>
        </w:rPr>
      </w:pPr>
      <w:r>
        <w:rPr>
          <w:lang w:val="en-AU"/>
        </w:rPr>
        <w:t>Data Preparation</w:t>
      </w:r>
    </w:p>
    <w:p w14:paraId="7BC3FF84" w14:textId="6D9AF1AD" w:rsidR="007C7443" w:rsidRDefault="007C7443" w:rsidP="00085E32">
      <w:pPr>
        <w:pStyle w:val="ListParagraph"/>
        <w:numPr>
          <w:ilvl w:val="0"/>
          <w:numId w:val="15"/>
        </w:numPr>
        <w:jc w:val="both"/>
        <w:rPr>
          <w:lang w:val="en-AU"/>
        </w:rPr>
      </w:pPr>
      <w:r>
        <w:rPr>
          <w:lang w:val="en-AU"/>
        </w:rPr>
        <w:t>Summary Statistics</w:t>
      </w:r>
    </w:p>
    <w:p w14:paraId="00E0F74E" w14:textId="61E49A7D" w:rsidR="007C7443" w:rsidRDefault="007C7443" w:rsidP="00085E32">
      <w:pPr>
        <w:pStyle w:val="ListParagraph"/>
        <w:numPr>
          <w:ilvl w:val="0"/>
          <w:numId w:val="15"/>
        </w:numPr>
        <w:jc w:val="both"/>
        <w:rPr>
          <w:lang w:val="en-AU"/>
        </w:rPr>
      </w:pPr>
      <w:r>
        <w:rPr>
          <w:lang w:val="en-AU"/>
        </w:rPr>
        <w:t>Pie and Pie Charts</w:t>
      </w:r>
    </w:p>
    <w:p w14:paraId="78CD33FB" w14:textId="3CA485C2" w:rsidR="007C7443" w:rsidRDefault="007C7443" w:rsidP="00085E32">
      <w:pPr>
        <w:pStyle w:val="ListParagraph"/>
        <w:numPr>
          <w:ilvl w:val="0"/>
          <w:numId w:val="15"/>
        </w:numPr>
        <w:jc w:val="both"/>
        <w:rPr>
          <w:lang w:val="en-AU"/>
        </w:rPr>
      </w:pPr>
      <w:r>
        <w:rPr>
          <w:lang w:val="en-AU"/>
        </w:rPr>
        <w:t>Quartiles, Outliers and Boxplots</w:t>
      </w:r>
    </w:p>
    <w:p w14:paraId="02B02778" w14:textId="468BB8B6" w:rsidR="007C7443" w:rsidRDefault="007C7443" w:rsidP="00085E32">
      <w:pPr>
        <w:pStyle w:val="ListParagraph"/>
        <w:numPr>
          <w:ilvl w:val="0"/>
          <w:numId w:val="15"/>
        </w:numPr>
        <w:jc w:val="both"/>
        <w:rPr>
          <w:lang w:val="en-AU"/>
        </w:rPr>
      </w:pPr>
      <w:r>
        <w:rPr>
          <w:lang w:val="en-AU"/>
        </w:rPr>
        <w:t>Line and Scatter Plots</w:t>
      </w:r>
    </w:p>
    <w:p w14:paraId="2BA5CA91" w14:textId="087B1FB5" w:rsidR="007C7443" w:rsidRDefault="007C7443" w:rsidP="00085E32">
      <w:pPr>
        <w:pStyle w:val="ListParagraph"/>
        <w:numPr>
          <w:ilvl w:val="0"/>
          <w:numId w:val="15"/>
        </w:numPr>
        <w:jc w:val="both"/>
        <w:rPr>
          <w:lang w:val="en-AU"/>
        </w:rPr>
      </w:pPr>
      <w:r>
        <w:rPr>
          <w:lang w:val="en-AU"/>
        </w:rPr>
        <w:t>Correlation and Regression</w:t>
      </w:r>
    </w:p>
    <w:p w14:paraId="15B00E20" w14:textId="620A59C6" w:rsidR="007C7443" w:rsidRPr="007C7443" w:rsidRDefault="007C7443" w:rsidP="00085E32">
      <w:pPr>
        <w:jc w:val="both"/>
        <w:rPr>
          <w:lang w:val="en-AU"/>
        </w:rPr>
      </w:pPr>
      <w:r>
        <w:rPr>
          <w:lang w:val="en-AU"/>
        </w:rPr>
        <w:t>In addition to this, the following analyses were performed:</w:t>
      </w:r>
    </w:p>
    <w:p w14:paraId="6B81CB81" w14:textId="0A79E4B2" w:rsidR="007C7443" w:rsidRPr="007C7443" w:rsidRDefault="007C7443" w:rsidP="00085E32">
      <w:pPr>
        <w:pStyle w:val="ListParagraph"/>
        <w:numPr>
          <w:ilvl w:val="0"/>
          <w:numId w:val="16"/>
        </w:numPr>
        <w:jc w:val="both"/>
        <w:rPr>
          <w:lang w:val="en-AU"/>
        </w:rPr>
      </w:pPr>
      <w:r w:rsidRPr="007C7443">
        <w:rPr>
          <w:b/>
          <w:bCs/>
          <w:lang w:val="en-AU"/>
        </w:rPr>
        <w:t>Average Tumo</w:t>
      </w:r>
      <w:r w:rsidRPr="007C7443">
        <w:rPr>
          <w:b/>
          <w:bCs/>
          <w:lang w:val="en-AU"/>
        </w:rPr>
        <w:t>u</w:t>
      </w:r>
      <w:r w:rsidRPr="007C7443">
        <w:rPr>
          <w:b/>
          <w:bCs/>
          <w:lang w:val="en-AU"/>
        </w:rPr>
        <w:t>r Volume by Drug:</w:t>
      </w:r>
      <w:r w:rsidRPr="007C7443">
        <w:rPr>
          <w:lang w:val="en-AU"/>
        </w:rPr>
        <w:t xml:space="preserve"> Calculate the mean tumo</w:t>
      </w:r>
      <w:r w:rsidRPr="007C7443">
        <w:rPr>
          <w:lang w:val="en-AU"/>
        </w:rPr>
        <w:t>u</w:t>
      </w:r>
      <w:r w:rsidRPr="007C7443">
        <w:rPr>
          <w:lang w:val="en-AU"/>
        </w:rPr>
        <w:t>r volume for each drug regimen at the latest timepoint available to see which drugs are associated with the smallest tumo</w:t>
      </w:r>
      <w:r w:rsidRPr="007C7443">
        <w:rPr>
          <w:lang w:val="en-AU"/>
        </w:rPr>
        <w:t>u</w:t>
      </w:r>
      <w:r w:rsidRPr="007C7443">
        <w:rPr>
          <w:lang w:val="en-AU"/>
        </w:rPr>
        <w:t>r sizes.</w:t>
      </w:r>
    </w:p>
    <w:p w14:paraId="3437A157" w14:textId="6D68F245" w:rsidR="007C7443" w:rsidRPr="007C7443" w:rsidRDefault="007C7443" w:rsidP="00085E32">
      <w:pPr>
        <w:pStyle w:val="ListParagraph"/>
        <w:numPr>
          <w:ilvl w:val="0"/>
          <w:numId w:val="16"/>
        </w:numPr>
        <w:jc w:val="both"/>
        <w:rPr>
          <w:lang w:val="en-AU"/>
        </w:rPr>
      </w:pPr>
      <w:r w:rsidRPr="007C7443">
        <w:rPr>
          <w:b/>
          <w:bCs/>
          <w:lang w:val="en-AU"/>
        </w:rPr>
        <w:t>Metastatic Spread:</w:t>
      </w:r>
      <w:r w:rsidRPr="007C7443">
        <w:rPr>
          <w:lang w:val="en-AU"/>
        </w:rPr>
        <w:t xml:space="preserve"> Calculate the average number of metastatic sites for each drug regimen to evaluate how well the drug prevents cancer spread.</w:t>
      </w:r>
    </w:p>
    <w:p w14:paraId="704034DA" w14:textId="6A38722C" w:rsidR="007C7443" w:rsidRPr="007C7443" w:rsidRDefault="00000000" w:rsidP="00085E32">
      <w:pPr>
        <w:pStyle w:val="Heading1"/>
        <w:jc w:val="both"/>
      </w:pPr>
      <w:r>
        <w:t>Results</w:t>
      </w:r>
    </w:p>
    <w:p w14:paraId="0889521B" w14:textId="7F73DD3F" w:rsidR="00085E32" w:rsidRDefault="00085E32" w:rsidP="00085E32">
      <w:pPr>
        <w:jc w:val="both"/>
      </w:pPr>
      <w:r>
        <w:t xml:space="preserve">The dataset underpinning the pharmaceutical study presents a rich array of attributes that facilitate a comprehensive examination of </w:t>
      </w:r>
      <w:proofErr w:type="spellStart"/>
      <w:r w:rsidR="00170522">
        <w:t>tumour</w:t>
      </w:r>
      <w:proofErr w:type="spellEnd"/>
      <w:r>
        <w:t xml:space="preserve"> treatments in mice. Each data point is associated with a unique mouse, identified by a 'Mouse ID'. The attributes encompass:</w:t>
      </w:r>
    </w:p>
    <w:p w14:paraId="2F6F8C5E" w14:textId="77777777" w:rsidR="00085E32" w:rsidRDefault="00085E32" w:rsidP="00085E32">
      <w:pPr>
        <w:pStyle w:val="ListParagraph"/>
        <w:numPr>
          <w:ilvl w:val="0"/>
          <w:numId w:val="17"/>
        </w:numPr>
        <w:jc w:val="both"/>
      </w:pPr>
      <w:r w:rsidRPr="00085E32">
        <w:rPr>
          <w:b/>
          <w:bCs/>
        </w:rPr>
        <w:t>Mouse ID:</w:t>
      </w:r>
      <w:r>
        <w:t xml:space="preserve"> A distinct identifier allocated to each mouse participating in the study.</w:t>
      </w:r>
    </w:p>
    <w:p w14:paraId="6568B090" w14:textId="77777777" w:rsidR="00085E32" w:rsidRDefault="00085E32" w:rsidP="00085E32">
      <w:pPr>
        <w:pStyle w:val="ListParagraph"/>
        <w:numPr>
          <w:ilvl w:val="0"/>
          <w:numId w:val="17"/>
        </w:numPr>
        <w:jc w:val="both"/>
      </w:pPr>
      <w:r w:rsidRPr="00085E32">
        <w:rPr>
          <w:b/>
          <w:bCs/>
        </w:rPr>
        <w:t>Timepoint:</w:t>
      </w:r>
      <w:r>
        <w:t xml:space="preserve"> The specific stages of the treatment, quantified in days, capturing the temporal aspect of the study.</w:t>
      </w:r>
    </w:p>
    <w:p w14:paraId="7C4A69E9" w14:textId="53AF9BA8" w:rsidR="00085E32" w:rsidRDefault="00170522" w:rsidP="00085E32">
      <w:pPr>
        <w:pStyle w:val="ListParagraph"/>
        <w:numPr>
          <w:ilvl w:val="0"/>
          <w:numId w:val="17"/>
        </w:numPr>
        <w:jc w:val="both"/>
      </w:pPr>
      <w:proofErr w:type="spellStart"/>
      <w:r>
        <w:rPr>
          <w:b/>
          <w:bCs/>
        </w:rPr>
        <w:lastRenderedPageBreak/>
        <w:t>Tumour</w:t>
      </w:r>
      <w:proofErr w:type="spellEnd"/>
      <w:r w:rsidR="00085E32" w:rsidRPr="00085E32">
        <w:rPr>
          <w:b/>
          <w:bCs/>
        </w:rPr>
        <w:t xml:space="preserve"> Volume (mm³):</w:t>
      </w:r>
      <w:r w:rsidR="00085E32">
        <w:t xml:space="preserve"> The measured size of the </w:t>
      </w:r>
      <w:proofErr w:type="spellStart"/>
      <w:r>
        <w:t>tumour</w:t>
      </w:r>
      <w:proofErr w:type="spellEnd"/>
      <w:r w:rsidR="00085E32">
        <w:t>, serving as a primary indicator of treatment efficacy.</w:t>
      </w:r>
    </w:p>
    <w:p w14:paraId="4DCE1B89" w14:textId="77777777" w:rsidR="00085E32" w:rsidRDefault="00085E32" w:rsidP="00085E32">
      <w:pPr>
        <w:pStyle w:val="ListParagraph"/>
        <w:numPr>
          <w:ilvl w:val="0"/>
          <w:numId w:val="17"/>
        </w:numPr>
        <w:jc w:val="both"/>
      </w:pPr>
      <w:r w:rsidRPr="00085E32">
        <w:rPr>
          <w:b/>
          <w:bCs/>
        </w:rPr>
        <w:t>Metastatic Sites:</w:t>
      </w:r>
      <w:r>
        <w:t xml:space="preserve"> The number of detected metastases, which provides information on the cancer's spread.</w:t>
      </w:r>
    </w:p>
    <w:p w14:paraId="77033567" w14:textId="77777777" w:rsidR="00085E32" w:rsidRDefault="00085E32" w:rsidP="00085E32">
      <w:pPr>
        <w:pStyle w:val="ListParagraph"/>
        <w:numPr>
          <w:ilvl w:val="0"/>
          <w:numId w:val="17"/>
        </w:numPr>
        <w:jc w:val="both"/>
      </w:pPr>
      <w:r w:rsidRPr="00085E32">
        <w:rPr>
          <w:b/>
          <w:bCs/>
        </w:rPr>
        <w:t>Drug Regimen:</w:t>
      </w:r>
      <w:r>
        <w:t xml:space="preserve"> Denotes the specific drug administered, with regimens including </w:t>
      </w:r>
      <w:proofErr w:type="spellStart"/>
      <w:r>
        <w:t>Capomulin</w:t>
      </w:r>
      <w:proofErr w:type="spellEnd"/>
      <w:r>
        <w:t xml:space="preserve">, </w:t>
      </w:r>
      <w:proofErr w:type="spellStart"/>
      <w:r>
        <w:t>Ketapril</w:t>
      </w:r>
      <w:proofErr w:type="spellEnd"/>
      <w:r>
        <w:t xml:space="preserve">, </w:t>
      </w:r>
      <w:proofErr w:type="spellStart"/>
      <w:r>
        <w:t>Infubinol</w:t>
      </w:r>
      <w:proofErr w:type="spellEnd"/>
      <w:r>
        <w:t xml:space="preserve">, </w:t>
      </w:r>
      <w:proofErr w:type="spellStart"/>
      <w:r>
        <w:t>Naftisol</w:t>
      </w:r>
      <w:proofErr w:type="spellEnd"/>
      <w:r>
        <w:t>, and others.</w:t>
      </w:r>
    </w:p>
    <w:p w14:paraId="51249A11" w14:textId="77777777" w:rsidR="00085E32" w:rsidRDefault="00085E32" w:rsidP="00085E32">
      <w:pPr>
        <w:pStyle w:val="ListParagraph"/>
        <w:numPr>
          <w:ilvl w:val="0"/>
          <w:numId w:val="17"/>
        </w:numPr>
        <w:jc w:val="both"/>
      </w:pPr>
      <w:r w:rsidRPr="00085E32">
        <w:rPr>
          <w:b/>
          <w:bCs/>
        </w:rPr>
        <w:t>Sex:</w:t>
      </w:r>
      <w:r>
        <w:t xml:space="preserve"> The gender of the mouse, allowing for gender-specific efficacy analysis.</w:t>
      </w:r>
    </w:p>
    <w:p w14:paraId="04375C84" w14:textId="77777777" w:rsidR="00085E32" w:rsidRDefault="00085E32" w:rsidP="00085E32">
      <w:pPr>
        <w:pStyle w:val="ListParagraph"/>
        <w:numPr>
          <w:ilvl w:val="0"/>
          <w:numId w:val="17"/>
        </w:numPr>
        <w:jc w:val="both"/>
      </w:pPr>
      <w:proofErr w:type="spellStart"/>
      <w:r w:rsidRPr="00085E32">
        <w:rPr>
          <w:b/>
          <w:bCs/>
        </w:rPr>
        <w:t>Age_months</w:t>
      </w:r>
      <w:proofErr w:type="spellEnd"/>
      <w:r w:rsidRPr="00085E32">
        <w:rPr>
          <w:b/>
          <w:bCs/>
        </w:rPr>
        <w:t>:</w:t>
      </w:r>
      <w:r>
        <w:t xml:space="preserve"> Represents the age of the mouse in months, which may correlate with treatment response.</w:t>
      </w:r>
    </w:p>
    <w:p w14:paraId="5AE4DB5D" w14:textId="77777777" w:rsidR="00085E32" w:rsidRDefault="00085E32" w:rsidP="00085E32">
      <w:pPr>
        <w:pStyle w:val="ListParagraph"/>
        <w:numPr>
          <w:ilvl w:val="0"/>
          <w:numId w:val="17"/>
        </w:numPr>
        <w:jc w:val="both"/>
      </w:pPr>
      <w:r w:rsidRPr="00085E32">
        <w:rPr>
          <w:b/>
          <w:bCs/>
        </w:rPr>
        <w:t>Weight (g):</w:t>
      </w:r>
      <w:r>
        <w:t xml:space="preserve"> The mouse's weight in grams, a factor that could potentially affect drug dosage and efficacy.</w:t>
      </w:r>
    </w:p>
    <w:p w14:paraId="18C06D75" w14:textId="2352FADB" w:rsidR="00085E32" w:rsidRDefault="00085E32" w:rsidP="00085E32">
      <w:pPr>
        <w:jc w:val="both"/>
      </w:pPr>
      <w:r>
        <w:t xml:space="preserve">The dataset outlines a variety of drug regimens, enabling a comparison across a spectrum of pharmaceutical treatments </w:t>
      </w:r>
      <w:r w:rsidR="00170522">
        <w:t>regarding</w:t>
      </w:r>
      <w:r>
        <w:t xml:space="preserve"> their impact on </w:t>
      </w:r>
      <w:proofErr w:type="spellStart"/>
      <w:r w:rsidR="00170522">
        <w:t>tumour</w:t>
      </w:r>
      <w:proofErr w:type="spellEnd"/>
      <w:r>
        <w:t xml:space="preserve"> growth and metastatic progression. Notably, all mice begin the study with an initial </w:t>
      </w:r>
      <w:proofErr w:type="spellStart"/>
      <w:r w:rsidR="00170522">
        <w:t>tumour</w:t>
      </w:r>
      <w:proofErr w:type="spellEnd"/>
      <w:r>
        <w:t xml:space="preserve"> volume set at 45.0 mm³ at the zero timepoint, establishing a uniform baseline for subsequent observations.</w:t>
      </w:r>
    </w:p>
    <w:p w14:paraId="461F401A" w14:textId="77777777" w:rsidR="00085E32" w:rsidRDefault="00085E32" w:rsidP="00085E32">
      <w:pPr>
        <w:jc w:val="both"/>
      </w:pPr>
      <w:r>
        <w:t>Sex distribution within the dataset is balanced, encompassing both male and female subjects, thereby providing a gender-inclusive assessment of the drug regimens' effectiveness. Additionally, the dataset exhibits variation in both age and weight among the mice, which introduces the potential for stratified analysis to understand how these factors may influence drug efficacy.</w:t>
      </w:r>
    </w:p>
    <w:p w14:paraId="0421EC6E" w14:textId="30396915" w:rsidR="00085E32" w:rsidRDefault="00085E32" w:rsidP="00085E32">
      <w:pPr>
        <w:jc w:val="both"/>
      </w:pPr>
      <w:r>
        <w:t xml:space="preserve">The data is longitudinal, chronicling multiple observations for each mouse across various timepoints. This structure is particularly conducive to longitudinal analysis, shedding light on individual and aggregate trends concerning </w:t>
      </w:r>
      <w:proofErr w:type="spellStart"/>
      <w:r w:rsidR="00170522">
        <w:t>tumour</w:t>
      </w:r>
      <w:proofErr w:type="spellEnd"/>
      <w:r>
        <w:t xml:space="preserve"> volume dynamics and the development of metastatic sites over the course of the treatment period. Such an analysis promises to yield valuable insights into the temporal patterns of </w:t>
      </w:r>
      <w:proofErr w:type="spellStart"/>
      <w:r w:rsidR="00170522">
        <w:t>tumour</w:t>
      </w:r>
      <w:proofErr w:type="spellEnd"/>
      <w:r>
        <w:t xml:space="preserve"> behavior and treatment response.</w:t>
      </w:r>
    </w:p>
    <w:p w14:paraId="71D8AE35" w14:textId="7A528811" w:rsidR="00085E32" w:rsidRDefault="00085E32" w:rsidP="00085E32">
      <w:pPr>
        <w:jc w:val="both"/>
      </w:pPr>
      <w:r>
        <w:t>Despite being a comprehensive dataset, it is important to consider the following, as they may impact results:</w:t>
      </w:r>
    </w:p>
    <w:p w14:paraId="20407B1D" w14:textId="77777777" w:rsidR="00085E32" w:rsidRDefault="00085E32" w:rsidP="00085E32">
      <w:pPr>
        <w:pStyle w:val="ListParagraph"/>
        <w:numPr>
          <w:ilvl w:val="0"/>
          <w:numId w:val="18"/>
        </w:numPr>
        <w:jc w:val="both"/>
      </w:pPr>
      <w:r w:rsidRPr="00085E32">
        <w:rPr>
          <w:b/>
          <w:bCs/>
        </w:rPr>
        <w:t>Missing Data:</w:t>
      </w:r>
      <w:r>
        <w:t xml:space="preserve"> Any gaps in the dataset, such as missing timepoints or incomplete records for some mice, could skew analysis and affect the integrity of the conclusions.</w:t>
      </w:r>
    </w:p>
    <w:p w14:paraId="64BFC1D4" w14:textId="642A9ABE" w:rsidR="00085E32" w:rsidRDefault="00085E32" w:rsidP="00085E32">
      <w:pPr>
        <w:pStyle w:val="ListParagraph"/>
        <w:numPr>
          <w:ilvl w:val="0"/>
          <w:numId w:val="18"/>
        </w:numPr>
        <w:jc w:val="both"/>
      </w:pPr>
      <w:r w:rsidRPr="00085E32">
        <w:rPr>
          <w:b/>
          <w:bCs/>
        </w:rPr>
        <w:t>Outliers and Anomalies:</w:t>
      </w:r>
      <w:r>
        <w:t xml:space="preserve"> The presence of outliers in </w:t>
      </w:r>
      <w:proofErr w:type="spellStart"/>
      <w:r w:rsidR="00170522">
        <w:t>tumour</w:t>
      </w:r>
      <w:proofErr w:type="spellEnd"/>
      <w:r>
        <w:t xml:space="preserve"> volume or metastatic sites could indicate experimental error or unique responses to treatment, requiring </w:t>
      </w:r>
      <w:proofErr w:type="gramStart"/>
      <w:r>
        <w:t>careful scrutiny</w:t>
      </w:r>
      <w:proofErr w:type="gramEnd"/>
      <w:r>
        <w:t xml:space="preserve"> to avoid misleading results.</w:t>
      </w:r>
    </w:p>
    <w:p w14:paraId="2B7BC7FF" w14:textId="77777777" w:rsidR="00085E32" w:rsidRDefault="00085E32" w:rsidP="00085E32">
      <w:pPr>
        <w:pStyle w:val="ListParagraph"/>
        <w:numPr>
          <w:ilvl w:val="0"/>
          <w:numId w:val="18"/>
        </w:numPr>
        <w:jc w:val="both"/>
      </w:pPr>
      <w:r w:rsidRPr="00085E32">
        <w:rPr>
          <w:b/>
          <w:bCs/>
        </w:rPr>
        <w:t>Bias in Initial Selection:</w:t>
      </w:r>
      <w:r>
        <w:t xml:space="preserve"> If the selection of mice was not random or lacked diversity in terms of genetic background, age, or pre-existing health conditions, it could introduce bias.</w:t>
      </w:r>
    </w:p>
    <w:p w14:paraId="46B43D48" w14:textId="2ED8907A" w:rsidR="00085E32" w:rsidRDefault="00085E32" w:rsidP="00085E32">
      <w:pPr>
        <w:pStyle w:val="ListParagraph"/>
        <w:numPr>
          <w:ilvl w:val="0"/>
          <w:numId w:val="18"/>
        </w:numPr>
        <w:jc w:val="both"/>
      </w:pPr>
      <w:proofErr w:type="spellStart"/>
      <w:r w:rsidRPr="00085E32">
        <w:rPr>
          <w:b/>
          <w:bCs/>
        </w:rPr>
        <w:t>Standardi</w:t>
      </w:r>
      <w:r w:rsidRPr="00085E32">
        <w:rPr>
          <w:b/>
          <w:bCs/>
        </w:rPr>
        <w:t>s</w:t>
      </w:r>
      <w:r w:rsidRPr="00085E32">
        <w:rPr>
          <w:b/>
          <w:bCs/>
        </w:rPr>
        <w:t>ation</w:t>
      </w:r>
      <w:proofErr w:type="spellEnd"/>
      <w:r w:rsidRPr="00085E32">
        <w:rPr>
          <w:b/>
          <w:bCs/>
        </w:rPr>
        <w:t xml:space="preserve"> of Conditions:</w:t>
      </w:r>
      <w:r>
        <w:t xml:space="preserve"> Ensuring that all mice are subject to identical conditions is crucial. Variations in environment, diet, or handling could affect the results.</w:t>
      </w:r>
    </w:p>
    <w:p w14:paraId="0B9FBD1D" w14:textId="77777777" w:rsidR="00085E32" w:rsidRDefault="00085E32" w:rsidP="00085E32">
      <w:pPr>
        <w:pStyle w:val="ListParagraph"/>
        <w:numPr>
          <w:ilvl w:val="0"/>
          <w:numId w:val="18"/>
        </w:numPr>
        <w:jc w:val="both"/>
      </w:pPr>
      <w:r w:rsidRPr="00085E32">
        <w:rPr>
          <w:b/>
          <w:bCs/>
        </w:rPr>
        <w:lastRenderedPageBreak/>
        <w:t>Dosing Differences:</w:t>
      </w:r>
      <w:r>
        <w:t xml:space="preserve"> If the dosage of drugs was not strictly controlled or varied among mice, it would be difficult to compare the effects of the drug regimens accurately.</w:t>
      </w:r>
    </w:p>
    <w:p w14:paraId="0A26BFBB" w14:textId="77777777" w:rsidR="00085E32" w:rsidRDefault="00085E32" w:rsidP="00085E32">
      <w:pPr>
        <w:pStyle w:val="ListParagraph"/>
        <w:numPr>
          <w:ilvl w:val="0"/>
          <w:numId w:val="18"/>
        </w:numPr>
        <w:jc w:val="both"/>
      </w:pPr>
      <w:r w:rsidRPr="00085E32">
        <w:rPr>
          <w:b/>
          <w:bCs/>
        </w:rPr>
        <w:t>Longitudinal Consistency:</w:t>
      </w:r>
      <w:r>
        <w:t xml:space="preserve"> Maintaining consistency in measurement techniques and intervals over time is challenging but necessary for reliable longitudinal analysis.</w:t>
      </w:r>
    </w:p>
    <w:p w14:paraId="2AFEEA43" w14:textId="3F90CCDB" w:rsidR="00170522" w:rsidRDefault="00085E32" w:rsidP="00170522">
      <w:pPr>
        <w:pStyle w:val="ListParagraph"/>
        <w:numPr>
          <w:ilvl w:val="0"/>
          <w:numId w:val="18"/>
        </w:numPr>
        <w:jc w:val="both"/>
      </w:pPr>
      <w:r w:rsidRPr="00085E32">
        <w:rPr>
          <w:b/>
          <w:bCs/>
        </w:rPr>
        <w:t>Interaction Effects:</w:t>
      </w:r>
      <w:r>
        <w:t xml:space="preserve"> Potential interactions between the mouse's characteristics (such as weight and age) and the drug's efficacy are difficult to isolate and interpret.</w:t>
      </w:r>
    </w:p>
    <w:p w14:paraId="0CF77F64" w14:textId="5A687D29" w:rsidR="00CB3017" w:rsidRDefault="00CB3017" w:rsidP="00085E32">
      <w:pPr>
        <w:jc w:val="both"/>
      </w:pPr>
      <w:r>
        <w:t>The results obtained are as follows</w:t>
      </w:r>
      <w:r w:rsidR="00170522">
        <w:t>:</w:t>
      </w:r>
    </w:p>
    <w:p w14:paraId="10CE35AC" w14:textId="3FDC2FFA" w:rsidR="00170522" w:rsidRPr="00170522" w:rsidRDefault="00170522" w:rsidP="00170522">
      <w:pPr>
        <w:pStyle w:val="Caption"/>
        <w:keepNext/>
        <w:rPr>
          <w:b w:val="0"/>
          <w:bCs w:val="0"/>
        </w:rPr>
      </w:pPr>
      <w:r w:rsidRPr="00170522">
        <w:t xml:space="preserve">Table </w:t>
      </w:r>
      <w:r w:rsidRPr="00170522">
        <w:fldChar w:fldCharType="begin"/>
      </w:r>
      <w:r w:rsidRPr="00170522">
        <w:instrText xml:space="preserve"> SEQ Table \* ARABIC </w:instrText>
      </w:r>
      <w:r w:rsidRPr="00170522">
        <w:fldChar w:fldCharType="separate"/>
      </w:r>
      <w:r w:rsidR="006862ED">
        <w:rPr>
          <w:noProof/>
        </w:rPr>
        <w:t>1</w:t>
      </w:r>
      <w:r w:rsidRPr="00170522">
        <w:fldChar w:fldCharType="end"/>
      </w:r>
      <w:r w:rsidRPr="00170522">
        <w:t>.</w:t>
      </w:r>
      <w:r w:rsidRPr="00170522">
        <w:rPr>
          <w:b w:val="0"/>
          <w:bCs w:val="0"/>
        </w:rPr>
        <w:t xml:space="preserve"> The Overall Summary</w:t>
      </w:r>
      <w:r w:rsidRPr="00170522">
        <w:rPr>
          <w:b w:val="0"/>
          <w:bCs w:val="0"/>
          <w:noProof/>
        </w:rPr>
        <w:t xml:space="preserve"> of Statistics for the Study Results.</w:t>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170522" w14:paraId="334AC1F1" w14:textId="77777777" w:rsidTr="00A6099B">
        <w:tc>
          <w:tcPr>
            <w:tcW w:w="8630" w:type="dxa"/>
            <w:gridSpan w:val="6"/>
          </w:tcPr>
          <w:p w14:paraId="33468435" w14:textId="4A8579E9" w:rsidR="00170522" w:rsidRPr="00170522" w:rsidRDefault="00170522" w:rsidP="00085E32">
            <w:pPr>
              <w:jc w:val="both"/>
              <w:rPr>
                <w:b/>
                <w:bCs/>
              </w:rPr>
            </w:pPr>
            <w:proofErr w:type="spellStart"/>
            <w:r>
              <w:rPr>
                <w:b/>
                <w:bCs/>
              </w:rPr>
              <w:t>Tumour</w:t>
            </w:r>
            <w:proofErr w:type="spellEnd"/>
            <w:r w:rsidRPr="00170522">
              <w:rPr>
                <w:b/>
                <w:bCs/>
              </w:rPr>
              <w:t xml:space="preserve"> Volume (mm3)</w:t>
            </w:r>
          </w:p>
        </w:tc>
      </w:tr>
      <w:tr w:rsidR="00170522" w14:paraId="285DED87" w14:textId="77777777" w:rsidTr="00170522">
        <w:tc>
          <w:tcPr>
            <w:tcW w:w="1438" w:type="dxa"/>
          </w:tcPr>
          <w:p w14:paraId="55FF087A" w14:textId="4206BA1D" w:rsidR="00170522" w:rsidRPr="00170522" w:rsidRDefault="00170522" w:rsidP="00170522">
            <w:pPr>
              <w:jc w:val="both"/>
              <w:rPr>
                <w:b/>
                <w:bCs/>
              </w:rPr>
            </w:pPr>
            <w:r w:rsidRPr="00170522">
              <w:rPr>
                <w:b/>
                <w:bCs/>
              </w:rPr>
              <w:t>Drug Regimen</w:t>
            </w:r>
          </w:p>
        </w:tc>
        <w:tc>
          <w:tcPr>
            <w:tcW w:w="1438" w:type="dxa"/>
          </w:tcPr>
          <w:p w14:paraId="33F50690" w14:textId="2803B89E" w:rsidR="00170522" w:rsidRPr="00170522" w:rsidRDefault="00170522" w:rsidP="00170522">
            <w:pPr>
              <w:jc w:val="both"/>
              <w:rPr>
                <w:b/>
                <w:bCs/>
              </w:rPr>
            </w:pPr>
            <w:r w:rsidRPr="00170522">
              <w:rPr>
                <w:b/>
                <w:bCs/>
              </w:rPr>
              <w:t>Mean</w:t>
            </w:r>
          </w:p>
        </w:tc>
        <w:tc>
          <w:tcPr>
            <w:tcW w:w="1438" w:type="dxa"/>
          </w:tcPr>
          <w:p w14:paraId="5A099EC6" w14:textId="31CE56D9" w:rsidR="00170522" w:rsidRPr="00170522" w:rsidRDefault="00170522" w:rsidP="00170522">
            <w:pPr>
              <w:jc w:val="both"/>
              <w:rPr>
                <w:b/>
                <w:bCs/>
              </w:rPr>
            </w:pPr>
            <w:r w:rsidRPr="00170522">
              <w:rPr>
                <w:b/>
                <w:bCs/>
              </w:rPr>
              <w:t>Median</w:t>
            </w:r>
          </w:p>
        </w:tc>
        <w:tc>
          <w:tcPr>
            <w:tcW w:w="1438" w:type="dxa"/>
          </w:tcPr>
          <w:p w14:paraId="3E1CF150" w14:textId="53E68751" w:rsidR="00170522" w:rsidRPr="00170522" w:rsidRDefault="00170522" w:rsidP="00170522">
            <w:pPr>
              <w:jc w:val="both"/>
              <w:rPr>
                <w:b/>
                <w:bCs/>
              </w:rPr>
            </w:pPr>
            <w:r w:rsidRPr="00170522">
              <w:rPr>
                <w:b/>
                <w:bCs/>
              </w:rPr>
              <w:t>Variance</w:t>
            </w:r>
          </w:p>
        </w:tc>
        <w:tc>
          <w:tcPr>
            <w:tcW w:w="1439" w:type="dxa"/>
          </w:tcPr>
          <w:p w14:paraId="77626CAA" w14:textId="4DE20903" w:rsidR="00170522" w:rsidRPr="00170522" w:rsidRDefault="00170522" w:rsidP="00170522">
            <w:pPr>
              <w:jc w:val="both"/>
              <w:rPr>
                <w:b/>
                <w:bCs/>
              </w:rPr>
            </w:pPr>
            <w:proofErr w:type="spellStart"/>
            <w:r w:rsidRPr="00170522">
              <w:rPr>
                <w:b/>
                <w:bCs/>
              </w:rPr>
              <w:t>Std_Dev</w:t>
            </w:r>
            <w:proofErr w:type="spellEnd"/>
          </w:p>
        </w:tc>
        <w:tc>
          <w:tcPr>
            <w:tcW w:w="1439" w:type="dxa"/>
          </w:tcPr>
          <w:p w14:paraId="15EFB776" w14:textId="7380A914" w:rsidR="00170522" w:rsidRPr="00170522" w:rsidRDefault="00170522" w:rsidP="00170522">
            <w:pPr>
              <w:jc w:val="both"/>
              <w:rPr>
                <w:b/>
                <w:bCs/>
              </w:rPr>
            </w:pPr>
            <w:r w:rsidRPr="00170522">
              <w:rPr>
                <w:b/>
                <w:bCs/>
              </w:rPr>
              <w:t>SEM</w:t>
            </w:r>
          </w:p>
        </w:tc>
      </w:tr>
      <w:tr w:rsidR="00170522" w14:paraId="5B4C2ED6" w14:textId="77777777" w:rsidTr="00170522">
        <w:tc>
          <w:tcPr>
            <w:tcW w:w="1438" w:type="dxa"/>
          </w:tcPr>
          <w:p w14:paraId="2DCF1D1A" w14:textId="4885740B" w:rsidR="00170522" w:rsidRDefault="00170522" w:rsidP="00170522">
            <w:pPr>
              <w:jc w:val="both"/>
            </w:pPr>
            <w:proofErr w:type="spellStart"/>
            <w:r w:rsidRPr="00142CFE">
              <w:t>Capomulin</w:t>
            </w:r>
            <w:proofErr w:type="spellEnd"/>
          </w:p>
        </w:tc>
        <w:tc>
          <w:tcPr>
            <w:tcW w:w="1438" w:type="dxa"/>
          </w:tcPr>
          <w:p w14:paraId="7D9C2F54" w14:textId="42C1B328" w:rsidR="00170522" w:rsidRDefault="00170522" w:rsidP="00170522">
            <w:pPr>
              <w:jc w:val="both"/>
            </w:pPr>
            <w:r w:rsidRPr="00142CFE">
              <w:t>40.675741</w:t>
            </w:r>
          </w:p>
        </w:tc>
        <w:tc>
          <w:tcPr>
            <w:tcW w:w="1438" w:type="dxa"/>
          </w:tcPr>
          <w:p w14:paraId="6BD0B541" w14:textId="1C02EFEF" w:rsidR="00170522" w:rsidRDefault="00170522" w:rsidP="00170522">
            <w:pPr>
              <w:jc w:val="both"/>
            </w:pPr>
            <w:r w:rsidRPr="00142CFE">
              <w:t>41.557809</w:t>
            </w:r>
          </w:p>
        </w:tc>
        <w:tc>
          <w:tcPr>
            <w:tcW w:w="1438" w:type="dxa"/>
          </w:tcPr>
          <w:p w14:paraId="40C675AD" w14:textId="37BB549A" w:rsidR="00170522" w:rsidRDefault="00170522" w:rsidP="00170522">
            <w:pPr>
              <w:jc w:val="both"/>
            </w:pPr>
            <w:r w:rsidRPr="00142CFE">
              <w:t>24.947764</w:t>
            </w:r>
          </w:p>
        </w:tc>
        <w:tc>
          <w:tcPr>
            <w:tcW w:w="1439" w:type="dxa"/>
          </w:tcPr>
          <w:p w14:paraId="189D3974" w14:textId="28A97B4D" w:rsidR="00170522" w:rsidRDefault="00170522" w:rsidP="00170522">
            <w:pPr>
              <w:jc w:val="both"/>
            </w:pPr>
            <w:r w:rsidRPr="00142CFE">
              <w:t>4.994774</w:t>
            </w:r>
          </w:p>
        </w:tc>
        <w:tc>
          <w:tcPr>
            <w:tcW w:w="1439" w:type="dxa"/>
          </w:tcPr>
          <w:p w14:paraId="62B1D52E" w14:textId="08EC0D45" w:rsidR="00170522" w:rsidRDefault="00170522" w:rsidP="00170522">
            <w:pPr>
              <w:jc w:val="both"/>
            </w:pPr>
            <w:r w:rsidRPr="00142CFE">
              <w:t>0.329346</w:t>
            </w:r>
          </w:p>
        </w:tc>
      </w:tr>
      <w:tr w:rsidR="00170522" w14:paraId="00E92A4B" w14:textId="77777777" w:rsidTr="00170522">
        <w:tc>
          <w:tcPr>
            <w:tcW w:w="1438" w:type="dxa"/>
          </w:tcPr>
          <w:p w14:paraId="14AD9B84" w14:textId="62C5D0CD" w:rsidR="00170522" w:rsidRDefault="00170522" w:rsidP="00170522">
            <w:pPr>
              <w:jc w:val="both"/>
            </w:pPr>
            <w:proofErr w:type="spellStart"/>
            <w:r w:rsidRPr="00142CFE">
              <w:t>Ceftamin</w:t>
            </w:r>
            <w:proofErr w:type="spellEnd"/>
          </w:p>
        </w:tc>
        <w:tc>
          <w:tcPr>
            <w:tcW w:w="1438" w:type="dxa"/>
          </w:tcPr>
          <w:p w14:paraId="6333CD46" w14:textId="59E84647" w:rsidR="00170522" w:rsidRDefault="00170522" w:rsidP="00170522">
            <w:pPr>
              <w:jc w:val="both"/>
            </w:pPr>
            <w:r w:rsidRPr="00142CFE">
              <w:t>52.591172</w:t>
            </w:r>
          </w:p>
        </w:tc>
        <w:tc>
          <w:tcPr>
            <w:tcW w:w="1438" w:type="dxa"/>
          </w:tcPr>
          <w:p w14:paraId="5556EAB8" w14:textId="3EDCEAA9" w:rsidR="00170522" w:rsidRDefault="00170522" w:rsidP="00170522">
            <w:pPr>
              <w:jc w:val="both"/>
            </w:pPr>
            <w:r w:rsidRPr="00142CFE">
              <w:t>51.776157</w:t>
            </w:r>
          </w:p>
        </w:tc>
        <w:tc>
          <w:tcPr>
            <w:tcW w:w="1438" w:type="dxa"/>
          </w:tcPr>
          <w:p w14:paraId="02776B17" w14:textId="3C231935" w:rsidR="00170522" w:rsidRDefault="00170522" w:rsidP="00170522">
            <w:pPr>
              <w:jc w:val="both"/>
            </w:pPr>
            <w:r w:rsidRPr="00142CFE">
              <w:t>39.290177</w:t>
            </w:r>
          </w:p>
        </w:tc>
        <w:tc>
          <w:tcPr>
            <w:tcW w:w="1439" w:type="dxa"/>
          </w:tcPr>
          <w:p w14:paraId="3A540774" w14:textId="298AC87E" w:rsidR="00170522" w:rsidRDefault="00170522" w:rsidP="00170522">
            <w:pPr>
              <w:jc w:val="both"/>
            </w:pPr>
            <w:r w:rsidRPr="00142CFE">
              <w:t>6.268188</w:t>
            </w:r>
          </w:p>
        </w:tc>
        <w:tc>
          <w:tcPr>
            <w:tcW w:w="1439" w:type="dxa"/>
          </w:tcPr>
          <w:p w14:paraId="44AECC87" w14:textId="4C3A5321" w:rsidR="00170522" w:rsidRDefault="00170522" w:rsidP="00170522">
            <w:pPr>
              <w:jc w:val="both"/>
            </w:pPr>
            <w:r w:rsidRPr="00142CFE">
              <w:t>0.469821</w:t>
            </w:r>
          </w:p>
        </w:tc>
      </w:tr>
      <w:tr w:rsidR="00170522" w14:paraId="6957D4CC" w14:textId="77777777" w:rsidTr="00170522">
        <w:tc>
          <w:tcPr>
            <w:tcW w:w="1438" w:type="dxa"/>
          </w:tcPr>
          <w:p w14:paraId="0C082B28" w14:textId="7493EC28" w:rsidR="00170522" w:rsidRDefault="00170522" w:rsidP="00170522">
            <w:pPr>
              <w:jc w:val="both"/>
            </w:pPr>
            <w:proofErr w:type="spellStart"/>
            <w:r w:rsidRPr="00142CFE">
              <w:t>Infubinol</w:t>
            </w:r>
            <w:proofErr w:type="spellEnd"/>
          </w:p>
        </w:tc>
        <w:tc>
          <w:tcPr>
            <w:tcW w:w="1438" w:type="dxa"/>
          </w:tcPr>
          <w:p w14:paraId="306C61F1" w14:textId="69D7AC32" w:rsidR="00170522" w:rsidRDefault="00170522" w:rsidP="00170522">
            <w:pPr>
              <w:jc w:val="both"/>
            </w:pPr>
            <w:r w:rsidRPr="00142CFE">
              <w:t>52.884795</w:t>
            </w:r>
          </w:p>
        </w:tc>
        <w:tc>
          <w:tcPr>
            <w:tcW w:w="1438" w:type="dxa"/>
          </w:tcPr>
          <w:p w14:paraId="48F639AC" w14:textId="11F5E923" w:rsidR="00170522" w:rsidRDefault="00170522" w:rsidP="00170522">
            <w:pPr>
              <w:jc w:val="both"/>
            </w:pPr>
            <w:r w:rsidRPr="00142CFE">
              <w:t>51.820584</w:t>
            </w:r>
          </w:p>
        </w:tc>
        <w:tc>
          <w:tcPr>
            <w:tcW w:w="1438" w:type="dxa"/>
          </w:tcPr>
          <w:p w14:paraId="290F58E2" w14:textId="21FD9791" w:rsidR="00170522" w:rsidRDefault="00170522" w:rsidP="00170522">
            <w:pPr>
              <w:jc w:val="both"/>
            </w:pPr>
            <w:r w:rsidRPr="00142CFE">
              <w:t>43.128684</w:t>
            </w:r>
          </w:p>
        </w:tc>
        <w:tc>
          <w:tcPr>
            <w:tcW w:w="1439" w:type="dxa"/>
          </w:tcPr>
          <w:p w14:paraId="4CD1ACB8" w14:textId="18AC63D4" w:rsidR="00170522" w:rsidRDefault="00170522" w:rsidP="00170522">
            <w:pPr>
              <w:jc w:val="both"/>
            </w:pPr>
            <w:r w:rsidRPr="00142CFE">
              <w:t>6.567243</w:t>
            </w:r>
          </w:p>
        </w:tc>
        <w:tc>
          <w:tcPr>
            <w:tcW w:w="1439" w:type="dxa"/>
          </w:tcPr>
          <w:p w14:paraId="22DBE7C9" w14:textId="287E80CD" w:rsidR="00170522" w:rsidRDefault="00170522" w:rsidP="00170522">
            <w:pPr>
              <w:jc w:val="both"/>
            </w:pPr>
            <w:r w:rsidRPr="00142CFE">
              <w:t>0.492236</w:t>
            </w:r>
          </w:p>
        </w:tc>
      </w:tr>
      <w:tr w:rsidR="00170522" w14:paraId="5827FCE8" w14:textId="77777777" w:rsidTr="00170522">
        <w:tc>
          <w:tcPr>
            <w:tcW w:w="1438" w:type="dxa"/>
          </w:tcPr>
          <w:p w14:paraId="698B7A96" w14:textId="18200893" w:rsidR="00170522" w:rsidRDefault="00170522" w:rsidP="00170522">
            <w:pPr>
              <w:jc w:val="both"/>
            </w:pPr>
            <w:proofErr w:type="spellStart"/>
            <w:r w:rsidRPr="00142CFE">
              <w:t>Ketapril</w:t>
            </w:r>
            <w:proofErr w:type="spellEnd"/>
          </w:p>
        </w:tc>
        <w:tc>
          <w:tcPr>
            <w:tcW w:w="1438" w:type="dxa"/>
          </w:tcPr>
          <w:p w14:paraId="26EABC96" w14:textId="1FF5A98D" w:rsidR="00170522" w:rsidRDefault="00170522" w:rsidP="00170522">
            <w:pPr>
              <w:jc w:val="both"/>
            </w:pPr>
            <w:r w:rsidRPr="00142CFE">
              <w:t>55.235638</w:t>
            </w:r>
          </w:p>
        </w:tc>
        <w:tc>
          <w:tcPr>
            <w:tcW w:w="1438" w:type="dxa"/>
          </w:tcPr>
          <w:p w14:paraId="16519625" w14:textId="2E7637E7" w:rsidR="00170522" w:rsidRDefault="00170522" w:rsidP="00170522">
            <w:pPr>
              <w:jc w:val="both"/>
            </w:pPr>
            <w:r w:rsidRPr="00142CFE">
              <w:t>53.698743</w:t>
            </w:r>
          </w:p>
        </w:tc>
        <w:tc>
          <w:tcPr>
            <w:tcW w:w="1438" w:type="dxa"/>
          </w:tcPr>
          <w:p w14:paraId="52F9C023" w14:textId="084B5CCF" w:rsidR="00170522" w:rsidRDefault="00170522" w:rsidP="00170522">
            <w:pPr>
              <w:jc w:val="both"/>
            </w:pPr>
            <w:r w:rsidRPr="00142CFE">
              <w:t>68.553577</w:t>
            </w:r>
          </w:p>
        </w:tc>
        <w:tc>
          <w:tcPr>
            <w:tcW w:w="1439" w:type="dxa"/>
          </w:tcPr>
          <w:p w14:paraId="524CEF7B" w14:textId="4E34140A" w:rsidR="00170522" w:rsidRDefault="00170522" w:rsidP="00170522">
            <w:pPr>
              <w:jc w:val="both"/>
            </w:pPr>
            <w:r w:rsidRPr="00142CFE">
              <w:t>8.279709</w:t>
            </w:r>
          </w:p>
        </w:tc>
        <w:tc>
          <w:tcPr>
            <w:tcW w:w="1439" w:type="dxa"/>
          </w:tcPr>
          <w:p w14:paraId="6C8C29AF" w14:textId="3EF1AF3B" w:rsidR="00170522" w:rsidRDefault="00170522" w:rsidP="00170522">
            <w:pPr>
              <w:jc w:val="both"/>
            </w:pPr>
            <w:r w:rsidRPr="00142CFE">
              <w:t>0.603860</w:t>
            </w:r>
          </w:p>
        </w:tc>
      </w:tr>
      <w:tr w:rsidR="00170522" w14:paraId="2CA46B84" w14:textId="77777777" w:rsidTr="00170522">
        <w:tc>
          <w:tcPr>
            <w:tcW w:w="1438" w:type="dxa"/>
          </w:tcPr>
          <w:p w14:paraId="111E4480" w14:textId="58DC3DFA" w:rsidR="00170522" w:rsidRDefault="00170522" w:rsidP="00170522">
            <w:pPr>
              <w:jc w:val="both"/>
            </w:pPr>
            <w:proofErr w:type="spellStart"/>
            <w:r w:rsidRPr="00142CFE">
              <w:t>Naftisol</w:t>
            </w:r>
            <w:proofErr w:type="spellEnd"/>
          </w:p>
        </w:tc>
        <w:tc>
          <w:tcPr>
            <w:tcW w:w="1438" w:type="dxa"/>
          </w:tcPr>
          <w:p w14:paraId="51368B69" w14:textId="14428DF8" w:rsidR="00170522" w:rsidRDefault="00170522" w:rsidP="00170522">
            <w:pPr>
              <w:jc w:val="both"/>
            </w:pPr>
            <w:r w:rsidRPr="00142CFE">
              <w:t>54.331565</w:t>
            </w:r>
          </w:p>
        </w:tc>
        <w:tc>
          <w:tcPr>
            <w:tcW w:w="1438" w:type="dxa"/>
          </w:tcPr>
          <w:p w14:paraId="348F1BBA" w14:textId="584D1705" w:rsidR="00170522" w:rsidRDefault="00170522" w:rsidP="00170522">
            <w:pPr>
              <w:jc w:val="both"/>
            </w:pPr>
            <w:r w:rsidRPr="00142CFE">
              <w:t>52.509285</w:t>
            </w:r>
          </w:p>
        </w:tc>
        <w:tc>
          <w:tcPr>
            <w:tcW w:w="1438" w:type="dxa"/>
          </w:tcPr>
          <w:p w14:paraId="71278D94" w14:textId="2078EFF0" w:rsidR="00170522" w:rsidRDefault="00170522" w:rsidP="00170522">
            <w:pPr>
              <w:jc w:val="both"/>
            </w:pPr>
            <w:r w:rsidRPr="00142CFE">
              <w:t>66.173479</w:t>
            </w:r>
          </w:p>
        </w:tc>
        <w:tc>
          <w:tcPr>
            <w:tcW w:w="1439" w:type="dxa"/>
          </w:tcPr>
          <w:p w14:paraId="156F4CE5" w14:textId="5A998AD9" w:rsidR="00170522" w:rsidRDefault="00170522" w:rsidP="00170522">
            <w:pPr>
              <w:jc w:val="both"/>
            </w:pPr>
            <w:r w:rsidRPr="00142CFE">
              <w:t>8.134708</w:t>
            </w:r>
          </w:p>
        </w:tc>
        <w:tc>
          <w:tcPr>
            <w:tcW w:w="1439" w:type="dxa"/>
          </w:tcPr>
          <w:p w14:paraId="69E5B6D8" w14:textId="4F709DAB" w:rsidR="00170522" w:rsidRDefault="00170522" w:rsidP="00170522">
            <w:pPr>
              <w:jc w:val="both"/>
            </w:pPr>
            <w:r w:rsidRPr="00142CFE">
              <w:t>0.596466</w:t>
            </w:r>
          </w:p>
        </w:tc>
      </w:tr>
      <w:tr w:rsidR="00170522" w14:paraId="02E1CC21" w14:textId="77777777" w:rsidTr="00170522">
        <w:tc>
          <w:tcPr>
            <w:tcW w:w="1438" w:type="dxa"/>
          </w:tcPr>
          <w:p w14:paraId="3ABD61C6" w14:textId="2E5D861C" w:rsidR="00170522" w:rsidRDefault="00170522" w:rsidP="00170522">
            <w:pPr>
              <w:jc w:val="both"/>
            </w:pPr>
            <w:r w:rsidRPr="00142CFE">
              <w:t>Placebo</w:t>
            </w:r>
          </w:p>
        </w:tc>
        <w:tc>
          <w:tcPr>
            <w:tcW w:w="1438" w:type="dxa"/>
          </w:tcPr>
          <w:p w14:paraId="0E5CB2F6" w14:textId="54EEA39B" w:rsidR="00170522" w:rsidRDefault="00170522" w:rsidP="00170522">
            <w:pPr>
              <w:jc w:val="both"/>
            </w:pPr>
            <w:r w:rsidRPr="00142CFE">
              <w:t>54.033581</w:t>
            </w:r>
          </w:p>
        </w:tc>
        <w:tc>
          <w:tcPr>
            <w:tcW w:w="1438" w:type="dxa"/>
          </w:tcPr>
          <w:p w14:paraId="154A4C87" w14:textId="62075D6E" w:rsidR="00170522" w:rsidRDefault="00170522" w:rsidP="00170522">
            <w:pPr>
              <w:jc w:val="both"/>
            </w:pPr>
            <w:r w:rsidRPr="00142CFE">
              <w:t>52.288934</w:t>
            </w:r>
          </w:p>
        </w:tc>
        <w:tc>
          <w:tcPr>
            <w:tcW w:w="1438" w:type="dxa"/>
          </w:tcPr>
          <w:p w14:paraId="5E66A39E" w14:textId="4F9822EC" w:rsidR="00170522" w:rsidRDefault="00170522" w:rsidP="00170522">
            <w:pPr>
              <w:jc w:val="both"/>
            </w:pPr>
            <w:r w:rsidRPr="00142CFE">
              <w:t>61.168083</w:t>
            </w:r>
          </w:p>
        </w:tc>
        <w:tc>
          <w:tcPr>
            <w:tcW w:w="1439" w:type="dxa"/>
          </w:tcPr>
          <w:p w14:paraId="229FD6AB" w14:textId="1A808909" w:rsidR="00170522" w:rsidRDefault="00170522" w:rsidP="00170522">
            <w:pPr>
              <w:jc w:val="both"/>
            </w:pPr>
            <w:r w:rsidRPr="00142CFE">
              <w:t>7.821003</w:t>
            </w:r>
          </w:p>
        </w:tc>
        <w:tc>
          <w:tcPr>
            <w:tcW w:w="1439" w:type="dxa"/>
          </w:tcPr>
          <w:p w14:paraId="68FB11AB" w14:textId="5015D4D1" w:rsidR="00170522" w:rsidRDefault="00170522" w:rsidP="00170522">
            <w:pPr>
              <w:jc w:val="both"/>
            </w:pPr>
            <w:r w:rsidRPr="00142CFE">
              <w:t>0.581331</w:t>
            </w:r>
          </w:p>
        </w:tc>
      </w:tr>
      <w:tr w:rsidR="00170522" w14:paraId="7B3A19B9" w14:textId="77777777" w:rsidTr="00170522">
        <w:tc>
          <w:tcPr>
            <w:tcW w:w="1438" w:type="dxa"/>
          </w:tcPr>
          <w:p w14:paraId="2B60BCE5" w14:textId="709238C1" w:rsidR="00170522" w:rsidRDefault="00170522" w:rsidP="00170522">
            <w:pPr>
              <w:jc w:val="both"/>
            </w:pPr>
            <w:proofErr w:type="spellStart"/>
            <w:r w:rsidRPr="00142CFE">
              <w:t>Propriva</w:t>
            </w:r>
            <w:proofErr w:type="spellEnd"/>
          </w:p>
        </w:tc>
        <w:tc>
          <w:tcPr>
            <w:tcW w:w="1438" w:type="dxa"/>
          </w:tcPr>
          <w:p w14:paraId="393B6BCB" w14:textId="3498345B" w:rsidR="00170522" w:rsidRDefault="00170522" w:rsidP="00170522">
            <w:pPr>
              <w:jc w:val="both"/>
            </w:pPr>
            <w:r w:rsidRPr="00142CFE">
              <w:t>52.320930</w:t>
            </w:r>
          </w:p>
        </w:tc>
        <w:tc>
          <w:tcPr>
            <w:tcW w:w="1438" w:type="dxa"/>
          </w:tcPr>
          <w:p w14:paraId="37A329FB" w14:textId="4E1D64CB" w:rsidR="00170522" w:rsidRDefault="00170522" w:rsidP="00170522">
            <w:pPr>
              <w:jc w:val="both"/>
            </w:pPr>
            <w:r w:rsidRPr="00142CFE">
              <w:t>50.446266</w:t>
            </w:r>
          </w:p>
        </w:tc>
        <w:tc>
          <w:tcPr>
            <w:tcW w:w="1438" w:type="dxa"/>
          </w:tcPr>
          <w:p w14:paraId="098E56DB" w14:textId="58B0A280" w:rsidR="00170522" w:rsidRDefault="00170522" w:rsidP="00170522">
            <w:pPr>
              <w:jc w:val="both"/>
            </w:pPr>
            <w:r w:rsidRPr="00142CFE">
              <w:t>43.852013</w:t>
            </w:r>
          </w:p>
        </w:tc>
        <w:tc>
          <w:tcPr>
            <w:tcW w:w="1439" w:type="dxa"/>
          </w:tcPr>
          <w:p w14:paraId="34A6CCC7" w14:textId="0B56F1C7" w:rsidR="00170522" w:rsidRDefault="00170522" w:rsidP="00170522">
            <w:pPr>
              <w:jc w:val="both"/>
            </w:pPr>
            <w:r w:rsidRPr="00142CFE">
              <w:t>6.622085</w:t>
            </w:r>
          </w:p>
        </w:tc>
        <w:tc>
          <w:tcPr>
            <w:tcW w:w="1439" w:type="dxa"/>
          </w:tcPr>
          <w:p w14:paraId="7E0AB120" w14:textId="21861AA3" w:rsidR="00170522" w:rsidRDefault="00170522" w:rsidP="00170522">
            <w:pPr>
              <w:jc w:val="both"/>
            </w:pPr>
            <w:r w:rsidRPr="00142CFE">
              <w:t>0.544332</w:t>
            </w:r>
          </w:p>
        </w:tc>
      </w:tr>
      <w:tr w:rsidR="00170522" w14:paraId="1035984F" w14:textId="77777777" w:rsidTr="00170522">
        <w:tc>
          <w:tcPr>
            <w:tcW w:w="1438" w:type="dxa"/>
          </w:tcPr>
          <w:p w14:paraId="7EF9CD35" w14:textId="30B8B3A9" w:rsidR="00170522" w:rsidRDefault="00170522" w:rsidP="00170522">
            <w:pPr>
              <w:jc w:val="both"/>
            </w:pPr>
            <w:proofErr w:type="spellStart"/>
            <w:r w:rsidRPr="00142CFE">
              <w:t>Ramicane</w:t>
            </w:r>
            <w:proofErr w:type="spellEnd"/>
          </w:p>
        </w:tc>
        <w:tc>
          <w:tcPr>
            <w:tcW w:w="1438" w:type="dxa"/>
          </w:tcPr>
          <w:p w14:paraId="504265F6" w14:textId="38D12912" w:rsidR="00170522" w:rsidRDefault="00170522" w:rsidP="00170522">
            <w:pPr>
              <w:jc w:val="both"/>
            </w:pPr>
            <w:r w:rsidRPr="00142CFE">
              <w:t>40.216745</w:t>
            </w:r>
          </w:p>
        </w:tc>
        <w:tc>
          <w:tcPr>
            <w:tcW w:w="1438" w:type="dxa"/>
          </w:tcPr>
          <w:p w14:paraId="1E4E6403" w14:textId="4B2166BD" w:rsidR="00170522" w:rsidRDefault="00170522" w:rsidP="00170522">
            <w:pPr>
              <w:jc w:val="both"/>
            </w:pPr>
            <w:r w:rsidRPr="00142CFE">
              <w:t>40.673236</w:t>
            </w:r>
          </w:p>
        </w:tc>
        <w:tc>
          <w:tcPr>
            <w:tcW w:w="1438" w:type="dxa"/>
          </w:tcPr>
          <w:p w14:paraId="405F922B" w14:textId="5B6F3A46" w:rsidR="00170522" w:rsidRDefault="00170522" w:rsidP="00170522">
            <w:pPr>
              <w:jc w:val="both"/>
            </w:pPr>
            <w:r w:rsidRPr="00142CFE">
              <w:t>23.486704</w:t>
            </w:r>
          </w:p>
        </w:tc>
        <w:tc>
          <w:tcPr>
            <w:tcW w:w="1439" w:type="dxa"/>
          </w:tcPr>
          <w:p w14:paraId="2D77559D" w14:textId="551B728F" w:rsidR="00170522" w:rsidRDefault="00170522" w:rsidP="00170522">
            <w:pPr>
              <w:jc w:val="both"/>
            </w:pPr>
            <w:r w:rsidRPr="00142CFE">
              <w:t>4.846308</w:t>
            </w:r>
          </w:p>
        </w:tc>
        <w:tc>
          <w:tcPr>
            <w:tcW w:w="1439" w:type="dxa"/>
          </w:tcPr>
          <w:p w14:paraId="561C2148" w14:textId="1906BDB4" w:rsidR="00170522" w:rsidRDefault="00170522" w:rsidP="00170522">
            <w:pPr>
              <w:jc w:val="both"/>
            </w:pPr>
            <w:r w:rsidRPr="00142CFE">
              <w:t>0.320955</w:t>
            </w:r>
          </w:p>
        </w:tc>
      </w:tr>
      <w:tr w:rsidR="00170522" w14:paraId="150E6F7D" w14:textId="77777777" w:rsidTr="00170522">
        <w:tc>
          <w:tcPr>
            <w:tcW w:w="1438" w:type="dxa"/>
          </w:tcPr>
          <w:p w14:paraId="7320B74F" w14:textId="32A86F7E" w:rsidR="00170522" w:rsidRDefault="00170522" w:rsidP="00170522">
            <w:pPr>
              <w:jc w:val="both"/>
            </w:pPr>
            <w:proofErr w:type="spellStart"/>
            <w:r w:rsidRPr="00142CFE">
              <w:t>Stelasyn</w:t>
            </w:r>
            <w:proofErr w:type="spellEnd"/>
          </w:p>
        </w:tc>
        <w:tc>
          <w:tcPr>
            <w:tcW w:w="1438" w:type="dxa"/>
          </w:tcPr>
          <w:p w14:paraId="49253CC6" w14:textId="02CA0B18" w:rsidR="00170522" w:rsidRDefault="00170522" w:rsidP="00170522">
            <w:pPr>
              <w:jc w:val="both"/>
            </w:pPr>
            <w:r w:rsidRPr="00142CFE">
              <w:t>54.233149</w:t>
            </w:r>
          </w:p>
        </w:tc>
        <w:tc>
          <w:tcPr>
            <w:tcW w:w="1438" w:type="dxa"/>
          </w:tcPr>
          <w:p w14:paraId="34994123" w14:textId="1C1854CA" w:rsidR="00170522" w:rsidRDefault="00170522" w:rsidP="00170522">
            <w:pPr>
              <w:jc w:val="both"/>
            </w:pPr>
            <w:r w:rsidRPr="00142CFE">
              <w:t>52.431737</w:t>
            </w:r>
          </w:p>
        </w:tc>
        <w:tc>
          <w:tcPr>
            <w:tcW w:w="1438" w:type="dxa"/>
          </w:tcPr>
          <w:p w14:paraId="7664A0F2" w14:textId="6C797E48" w:rsidR="00170522" w:rsidRDefault="00170522" w:rsidP="00170522">
            <w:pPr>
              <w:jc w:val="both"/>
            </w:pPr>
            <w:r w:rsidRPr="00142CFE">
              <w:t>59.450562</w:t>
            </w:r>
          </w:p>
        </w:tc>
        <w:tc>
          <w:tcPr>
            <w:tcW w:w="1439" w:type="dxa"/>
          </w:tcPr>
          <w:p w14:paraId="0D7F5DD3" w14:textId="0BEE8A25" w:rsidR="00170522" w:rsidRDefault="00170522" w:rsidP="00170522">
            <w:pPr>
              <w:jc w:val="both"/>
            </w:pPr>
            <w:r w:rsidRPr="00142CFE">
              <w:t>7.710419</w:t>
            </w:r>
          </w:p>
        </w:tc>
        <w:tc>
          <w:tcPr>
            <w:tcW w:w="1439" w:type="dxa"/>
          </w:tcPr>
          <w:p w14:paraId="6A3F2F82" w14:textId="593655D4" w:rsidR="00170522" w:rsidRDefault="00170522" w:rsidP="00170522">
            <w:pPr>
              <w:jc w:val="both"/>
            </w:pPr>
            <w:r w:rsidRPr="00142CFE">
              <w:t>0.573111</w:t>
            </w:r>
          </w:p>
        </w:tc>
      </w:tr>
      <w:tr w:rsidR="00170522" w14:paraId="4ECBD530" w14:textId="77777777" w:rsidTr="00170522">
        <w:tc>
          <w:tcPr>
            <w:tcW w:w="1438" w:type="dxa"/>
          </w:tcPr>
          <w:p w14:paraId="65D7B90B" w14:textId="14877C30" w:rsidR="00170522" w:rsidRDefault="00170522" w:rsidP="00170522">
            <w:pPr>
              <w:jc w:val="both"/>
            </w:pPr>
            <w:proofErr w:type="spellStart"/>
            <w:r w:rsidRPr="00142CFE">
              <w:t>Zoniferol</w:t>
            </w:r>
            <w:proofErr w:type="spellEnd"/>
          </w:p>
        </w:tc>
        <w:tc>
          <w:tcPr>
            <w:tcW w:w="1438" w:type="dxa"/>
          </w:tcPr>
          <w:p w14:paraId="1FE2C266" w14:textId="2CB3EC92" w:rsidR="00170522" w:rsidRDefault="00170522" w:rsidP="00170522">
            <w:pPr>
              <w:jc w:val="both"/>
            </w:pPr>
            <w:r w:rsidRPr="00142CFE">
              <w:t>53.236507</w:t>
            </w:r>
          </w:p>
        </w:tc>
        <w:tc>
          <w:tcPr>
            <w:tcW w:w="1438" w:type="dxa"/>
          </w:tcPr>
          <w:p w14:paraId="59489001" w14:textId="0D875A2F" w:rsidR="00170522" w:rsidRDefault="00170522" w:rsidP="00170522">
            <w:pPr>
              <w:jc w:val="both"/>
            </w:pPr>
            <w:r w:rsidRPr="00142CFE">
              <w:t>51.818479</w:t>
            </w:r>
          </w:p>
        </w:tc>
        <w:tc>
          <w:tcPr>
            <w:tcW w:w="1438" w:type="dxa"/>
          </w:tcPr>
          <w:p w14:paraId="4FC9651B" w14:textId="1C9B78F2" w:rsidR="00170522" w:rsidRDefault="00170522" w:rsidP="00170522">
            <w:pPr>
              <w:jc w:val="both"/>
            </w:pPr>
            <w:r w:rsidRPr="00142CFE">
              <w:t>48.533355</w:t>
            </w:r>
          </w:p>
        </w:tc>
        <w:tc>
          <w:tcPr>
            <w:tcW w:w="1439" w:type="dxa"/>
          </w:tcPr>
          <w:p w14:paraId="7C38A87A" w14:textId="137B946A" w:rsidR="00170522" w:rsidRDefault="00170522" w:rsidP="00170522">
            <w:pPr>
              <w:jc w:val="both"/>
            </w:pPr>
            <w:r w:rsidRPr="00142CFE">
              <w:t>6.966589</w:t>
            </w:r>
          </w:p>
        </w:tc>
        <w:tc>
          <w:tcPr>
            <w:tcW w:w="1439" w:type="dxa"/>
          </w:tcPr>
          <w:p w14:paraId="24A45133" w14:textId="06F95857" w:rsidR="00170522" w:rsidRDefault="00170522" w:rsidP="00170522">
            <w:pPr>
              <w:jc w:val="both"/>
            </w:pPr>
            <w:r w:rsidRPr="00142CFE">
              <w:t>0.516398</w:t>
            </w:r>
          </w:p>
        </w:tc>
      </w:tr>
    </w:tbl>
    <w:p w14:paraId="28D0E98B" w14:textId="77777777" w:rsidR="00170522" w:rsidRDefault="00170522" w:rsidP="00085E32">
      <w:pPr>
        <w:jc w:val="both"/>
      </w:pPr>
    </w:p>
    <w:tbl>
      <w:tblPr>
        <w:tblStyle w:val="TableGrid"/>
        <w:tblW w:w="0" w:type="auto"/>
        <w:tblLook w:val="04A0" w:firstRow="1" w:lastRow="0" w:firstColumn="1" w:lastColumn="0" w:noHBand="0" w:noVBand="1"/>
      </w:tblPr>
      <w:tblGrid>
        <w:gridCol w:w="8630"/>
      </w:tblGrid>
      <w:tr w:rsidR="007C7443" w14:paraId="54233E02" w14:textId="77777777" w:rsidTr="007C7443">
        <w:tc>
          <w:tcPr>
            <w:tcW w:w="0" w:type="auto"/>
          </w:tcPr>
          <w:p w14:paraId="41769B0A" w14:textId="232CFF0E" w:rsidR="007C7443" w:rsidRDefault="007C7443" w:rsidP="00085E32">
            <w:pPr>
              <w:pStyle w:val="NormalWeb"/>
              <w:jc w:val="both"/>
            </w:pPr>
            <w:r>
              <w:rPr>
                <w:noProof/>
              </w:rPr>
              <w:drawing>
                <wp:inline distT="0" distB="0" distL="0" distR="0" wp14:anchorId="498654F8" wp14:editId="7F275677">
                  <wp:extent cx="5486400" cy="2743200"/>
                  <wp:effectExtent l="0" t="0" r="0" b="0"/>
                  <wp:docPr id="185688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25C365C0" w14:textId="77777777" w:rsidR="007C7443" w:rsidRDefault="007C7443" w:rsidP="00170522">
            <w:pPr>
              <w:keepNext/>
              <w:jc w:val="both"/>
            </w:pPr>
          </w:p>
        </w:tc>
      </w:tr>
    </w:tbl>
    <w:p w14:paraId="18478FBC" w14:textId="299955C1" w:rsidR="007C7443" w:rsidRPr="00170522" w:rsidRDefault="00170522" w:rsidP="00170522">
      <w:pPr>
        <w:pStyle w:val="Caption"/>
        <w:rPr>
          <w:b w:val="0"/>
          <w:bCs w:val="0"/>
        </w:rPr>
      </w:pPr>
      <w:r>
        <w:t xml:space="preserve">Figure </w:t>
      </w:r>
      <w:r>
        <w:fldChar w:fldCharType="begin"/>
      </w:r>
      <w:r>
        <w:instrText xml:space="preserve"> SEQ Figure \* ARABIC </w:instrText>
      </w:r>
      <w:r>
        <w:fldChar w:fldCharType="separate"/>
      </w:r>
      <w:r w:rsidR="006862ED">
        <w:rPr>
          <w:noProof/>
        </w:rPr>
        <w:t>1</w:t>
      </w:r>
      <w:r>
        <w:fldChar w:fldCharType="end"/>
      </w:r>
      <w:r>
        <w:t xml:space="preserve">. </w:t>
      </w:r>
      <w:r>
        <w:rPr>
          <w:b w:val="0"/>
          <w:bCs w:val="0"/>
        </w:rPr>
        <w:t xml:space="preserve">Average Final </w:t>
      </w:r>
      <w:proofErr w:type="spellStart"/>
      <w:r>
        <w:rPr>
          <w:b w:val="0"/>
          <w:bCs w:val="0"/>
        </w:rPr>
        <w:t>Tumour</w:t>
      </w:r>
      <w:proofErr w:type="spellEnd"/>
      <w:r>
        <w:rPr>
          <w:b w:val="0"/>
          <w:bCs w:val="0"/>
        </w:rPr>
        <w:t xml:space="preserve"> Volumes by Drug Regimen.</w:t>
      </w:r>
    </w:p>
    <w:tbl>
      <w:tblPr>
        <w:tblStyle w:val="TableGrid"/>
        <w:tblW w:w="0" w:type="auto"/>
        <w:tblLook w:val="04A0" w:firstRow="1" w:lastRow="0" w:firstColumn="1" w:lastColumn="0" w:noHBand="0" w:noVBand="1"/>
      </w:tblPr>
      <w:tblGrid>
        <w:gridCol w:w="8630"/>
      </w:tblGrid>
      <w:tr w:rsidR="007C7443" w14:paraId="0C5849A3" w14:textId="77777777" w:rsidTr="007C7443">
        <w:tc>
          <w:tcPr>
            <w:tcW w:w="0" w:type="auto"/>
          </w:tcPr>
          <w:p w14:paraId="1DD04777" w14:textId="569CA40A" w:rsidR="007C7443" w:rsidRDefault="007C7443" w:rsidP="00085E32">
            <w:pPr>
              <w:pStyle w:val="NormalWeb"/>
              <w:jc w:val="both"/>
            </w:pPr>
            <w:r>
              <w:rPr>
                <w:noProof/>
              </w:rPr>
              <w:lastRenderedPageBreak/>
              <w:drawing>
                <wp:inline distT="0" distB="0" distL="0" distR="0" wp14:anchorId="3067EBDD" wp14:editId="6188C28E">
                  <wp:extent cx="5486400" cy="2743200"/>
                  <wp:effectExtent l="0" t="0" r="0" b="0"/>
                  <wp:docPr id="1022238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7CF2DEBF" w14:textId="77777777" w:rsidR="007C7443" w:rsidRDefault="007C7443" w:rsidP="00170522">
            <w:pPr>
              <w:keepNext/>
              <w:jc w:val="both"/>
            </w:pPr>
          </w:p>
        </w:tc>
      </w:tr>
    </w:tbl>
    <w:p w14:paraId="19B6779D" w14:textId="68266753" w:rsidR="007C7443" w:rsidRPr="00170522" w:rsidRDefault="00170522" w:rsidP="00170522">
      <w:pPr>
        <w:pStyle w:val="Caption"/>
        <w:rPr>
          <w:b w:val="0"/>
          <w:bCs w:val="0"/>
        </w:rPr>
      </w:pPr>
      <w:r>
        <w:t xml:space="preserve">Figure </w:t>
      </w:r>
      <w:r>
        <w:fldChar w:fldCharType="begin"/>
      </w:r>
      <w:r>
        <w:instrText xml:space="preserve"> SEQ Figure \* ARABIC </w:instrText>
      </w:r>
      <w:r>
        <w:fldChar w:fldCharType="separate"/>
      </w:r>
      <w:r w:rsidR="006862ED">
        <w:rPr>
          <w:noProof/>
        </w:rPr>
        <w:t>2</w:t>
      </w:r>
      <w:r>
        <w:fldChar w:fldCharType="end"/>
      </w:r>
      <w:r>
        <w:t xml:space="preserve">. </w:t>
      </w:r>
      <w:r w:rsidRPr="00170522">
        <w:rPr>
          <w:b w:val="0"/>
          <w:bCs w:val="0"/>
        </w:rPr>
        <w:t>Average Metastatic Site Count by Drug Regimen.</w:t>
      </w:r>
    </w:p>
    <w:p w14:paraId="06219C6B" w14:textId="77777777" w:rsidR="00403207" w:rsidRDefault="00403207" w:rsidP="00085E32">
      <w:pPr>
        <w:pStyle w:val="Heading1"/>
        <w:jc w:val="both"/>
      </w:pPr>
      <w:r>
        <w:t>Discussion</w:t>
      </w:r>
    </w:p>
    <w:p w14:paraId="7AAD7C2C" w14:textId="56AE49FE" w:rsidR="00CB3017" w:rsidRDefault="00CB3017" w:rsidP="00085E32">
      <w:pPr>
        <w:jc w:val="both"/>
      </w:pPr>
      <w:r>
        <w:t>The following observations are drawn from the analysis results presented above</w:t>
      </w:r>
      <w:r w:rsidR="00170522">
        <w:t>:</w:t>
      </w:r>
    </w:p>
    <w:p w14:paraId="6BA7C965" w14:textId="64A1B383" w:rsidR="00170522" w:rsidRDefault="00170522" w:rsidP="00170522">
      <w:pPr>
        <w:pStyle w:val="ListParagraph"/>
        <w:numPr>
          <w:ilvl w:val="0"/>
          <w:numId w:val="19"/>
        </w:numPr>
        <w:jc w:val="both"/>
      </w:pPr>
      <w:proofErr w:type="spellStart"/>
      <w:r>
        <w:t>Capomulin</w:t>
      </w:r>
      <w:proofErr w:type="spellEnd"/>
      <w:r>
        <w:t xml:space="preserve"> and </w:t>
      </w:r>
      <w:proofErr w:type="spellStart"/>
      <w:r>
        <w:t>Ramicane</w:t>
      </w:r>
      <w:proofErr w:type="spellEnd"/>
      <w:r>
        <w:t xml:space="preserve"> show the most promising results, with relatively low average </w:t>
      </w:r>
      <w:proofErr w:type="spellStart"/>
      <w:r>
        <w:t>tumour</w:t>
      </w:r>
      <w:proofErr w:type="spellEnd"/>
      <w:r>
        <w:t xml:space="preserve"> volumes (38.0 mm³ and 39.0 mm³ respectively) and moderate control over metastatic spread (1 metastatic site each).</w:t>
      </w:r>
    </w:p>
    <w:p w14:paraId="1EE62A85" w14:textId="3DA3D574" w:rsidR="00170522" w:rsidRDefault="00170522" w:rsidP="00170522">
      <w:pPr>
        <w:pStyle w:val="ListParagraph"/>
        <w:numPr>
          <w:ilvl w:val="0"/>
          <w:numId w:val="19"/>
        </w:numPr>
        <w:jc w:val="both"/>
      </w:pPr>
      <w:proofErr w:type="spellStart"/>
      <w:r>
        <w:t>Infubinol</w:t>
      </w:r>
      <w:proofErr w:type="spellEnd"/>
      <w:r>
        <w:t xml:space="preserve"> has a higher average </w:t>
      </w:r>
      <w:proofErr w:type="spellStart"/>
      <w:r>
        <w:t>tumour</w:t>
      </w:r>
      <w:proofErr w:type="spellEnd"/>
      <w:r>
        <w:t xml:space="preserve"> volume but interestingly shows no new metastatic sites at the 20-day mark, indicating effective control of cancer spread.</w:t>
      </w:r>
    </w:p>
    <w:p w14:paraId="3D47BA5D" w14:textId="3899466C" w:rsidR="00170522" w:rsidRDefault="00170522" w:rsidP="00170522">
      <w:pPr>
        <w:pStyle w:val="ListParagraph"/>
        <w:numPr>
          <w:ilvl w:val="0"/>
          <w:numId w:val="19"/>
        </w:numPr>
        <w:jc w:val="both"/>
      </w:pPr>
      <w:proofErr w:type="spellStart"/>
      <w:r>
        <w:t>Ketapril</w:t>
      </w:r>
      <w:proofErr w:type="spellEnd"/>
      <w:r>
        <w:t xml:space="preserve"> and </w:t>
      </w:r>
      <w:proofErr w:type="spellStart"/>
      <w:r>
        <w:t>Naftisol</w:t>
      </w:r>
      <w:proofErr w:type="spellEnd"/>
      <w:r>
        <w:t xml:space="preserve"> exhibit less efficacy in </w:t>
      </w:r>
      <w:proofErr w:type="spellStart"/>
      <w:r>
        <w:t>tumour</w:t>
      </w:r>
      <w:proofErr w:type="spellEnd"/>
      <w:r>
        <w:t xml:space="preserve"> volume control and a higher number of metastatic sites, suggesting they are less effective compared to </w:t>
      </w:r>
      <w:proofErr w:type="spellStart"/>
      <w:r>
        <w:t>Capomulin</w:t>
      </w:r>
      <w:proofErr w:type="spellEnd"/>
      <w:r>
        <w:t xml:space="preserve"> and </w:t>
      </w:r>
      <w:proofErr w:type="spellStart"/>
      <w:r>
        <w:t>Ramicane</w:t>
      </w:r>
      <w:proofErr w:type="spellEnd"/>
      <w:r>
        <w:t>.</w:t>
      </w:r>
    </w:p>
    <w:p w14:paraId="503C2D9D" w14:textId="0D2957FF" w:rsidR="00403207" w:rsidRDefault="00403207" w:rsidP="00085E32">
      <w:pPr>
        <w:pStyle w:val="Heading1"/>
        <w:jc w:val="both"/>
      </w:pPr>
      <w:r>
        <w:t>Recommendations</w:t>
      </w:r>
    </w:p>
    <w:p w14:paraId="09C8E985" w14:textId="0B71838D" w:rsidR="00403207" w:rsidRDefault="006374B4" w:rsidP="00170522">
      <w:pPr>
        <w:jc w:val="both"/>
      </w:pPr>
      <w:r>
        <w:t>Based on the observations above, it may be prudent to consider the following:</w:t>
      </w:r>
    </w:p>
    <w:p w14:paraId="004087A5" w14:textId="2CB26B12" w:rsidR="00170522" w:rsidRDefault="00170522" w:rsidP="00170522">
      <w:pPr>
        <w:pStyle w:val="ListParagraph"/>
        <w:numPr>
          <w:ilvl w:val="0"/>
          <w:numId w:val="20"/>
        </w:numPr>
        <w:jc w:val="both"/>
      </w:pPr>
      <w:r>
        <w:t>Enhance monitoring and data entry protocols to reduce the occurrence of missing data, ensuring a comprehensive dataset for more accurate analysis.</w:t>
      </w:r>
    </w:p>
    <w:p w14:paraId="46A07220" w14:textId="53C24DDB" w:rsidR="00170522" w:rsidRDefault="00170522" w:rsidP="00170522">
      <w:pPr>
        <w:pStyle w:val="ListParagraph"/>
        <w:numPr>
          <w:ilvl w:val="0"/>
          <w:numId w:val="20"/>
        </w:numPr>
        <w:jc w:val="both"/>
      </w:pPr>
      <w:r>
        <w:t>Establish a consistent protocol for identifying and handling outliers, assessing their impact on study outcomes to inform decisions regarding their inclusion.</w:t>
      </w:r>
    </w:p>
    <w:p w14:paraId="1446FD69" w14:textId="565CAC9B" w:rsidR="00170522" w:rsidRDefault="00170522" w:rsidP="00170522">
      <w:pPr>
        <w:pStyle w:val="ListParagraph"/>
        <w:numPr>
          <w:ilvl w:val="0"/>
          <w:numId w:val="20"/>
        </w:numPr>
        <w:jc w:val="both"/>
      </w:pPr>
      <w:r>
        <w:t xml:space="preserve">Strengthen </w:t>
      </w:r>
      <w:proofErr w:type="spellStart"/>
      <w:r>
        <w:t>randomi</w:t>
      </w:r>
      <w:r>
        <w:t>s</w:t>
      </w:r>
      <w:r>
        <w:t>ation</w:t>
      </w:r>
      <w:proofErr w:type="spellEnd"/>
      <w:r>
        <w:t xml:space="preserve"> procedures and consider stratification by sex, age, and weight to control for potential confounding factors that could affect the drug efficacy outcomes.</w:t>
      </w:r>
    </w:p>
    <w:p w14:paraId="02746776" w14:textId="170EE48B" w:rsidR="00170522" w:rsidRDefault="00170522" w:rsidP="00170522">
      <w:pPr>
        <w:pStyle w:val="ListParagraph"/>
        <w:numPr>
          <w:ilvl w:val="0"/>
          <w:numId w:val="20"/>
        </w:numPr>
        <w:jc w:val="both"/>
      </w:pPr>
      <w:r>
        <w:t xml:space="preserve">Maintain strict control of experimental conditions to ensure that variations in </w:t>
      </w:r>
      <w:proofErr w:type="spellStart"/>
      <w:r>
        <w:t>tumour</w:t>
      </w:r>
      <w:proofErr w:type="spellEnd"/>
      <w:r>
        <w:t xml:space="preserve"> growth or metastasis are due to the drug treatments and not external variables.</w:t>
      </w:r>
    </w:p>
    <w:p w14:paraId="2C6B45E9" w14:textId="4ED54D91" w:rsidR="00170522" w:rsidRDefault="00170522" w:rsidP="00170522">
      <w:pPr>
        <w:pStyle w:val="ListParagraph"/>
        <w:numPr>
          <w:ilvl w:val="0"/>
          <w:numId w:val="20"/>
        </w:numPr>
        <w:jc w:val="both"/>
      </w:pPr>
      <w:r>
        <w:lastRenderedPageBreak/>
        <w:t xml:space="preserve">Apply advanced statistical methods designed for longitudinal data, like mixed-effects models, to appropriately </w:t>
      </w:r>
      <w:proofErr w:type="spellStart"/>
      <w:r>
        <w:t>analy</w:t>
      </w:r>
      <w:r w:rsidR="00037AD4">
        <w:t>s</w:t>
      </w:r>
      <w:r>
        <w:t>e</w:t>
      </w:r>
      <w:proofErr w:type="spellEnd"/>
      <w:r>
        <w:t xml:space="preserve"> the progression of </w:t>
      </w:r>
      <w:proofErr w:type="spellStart"/>
      <w:r>
        <w:t>tumour</w:t>
      </w:r>
      <w:proofErr w:type="spellEnd"/>
      <w:r>
        <w:t xml:space="preserve"> growth and metastasis over time.</w:t>
      </w:r>
    </w:p>
    <w:sectPr w:rsidR="00170522" w:rsidSect="00E64ADE">
      <w:headerReference w:type="even" r:id="rId10"/>
      <w:headerReference w:type="default" r:id="rId11"/>
      <w:head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EBAB6" w14:textId="77777777" w:rsidR="00E64ADE" w:rsidRDefault="00E64ADE" w:rsidP="006374B4">
      <w:pPr>
        <w:spacing w:after="0" w:line="240" w:lineRule="auto"/>
      </w:pPr>
      <w:r>
        <w:separator/>
      </w:r>
    </w:p>
  </w:endnote>
  <w:endnote w:type="continuationSeparator" w:id="0">
    <w:p w14:paraId="1FCD391D" w14:textId="77777777" w:rsidR="00E64ADE" w:rsidRDefault="00E64ADE" w:rsidP="00637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90AE1" w14:textId="77777777" w:rsidR="00E64ADE" w:rsidRDefault="00E64ADE" w:rsidP="006374B4">
      <w:pPr>
        <w:spacing w:after="0" w:line="240" w:lineRule="auto"/>
      </w:pPr>
      <w:r>
        <w:separator/>
      </w:r>
    </w:p>
  </w:footnote>
  <w:footnote w:type="continuationSeparator" w:id="0">
    <w:p w14:paraId="018F899A" w14:textId="77777777" w:rsidR="00E64ADE" w:rsidRDefault="00E64ADE" w:rsidP="00637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F0B8" w14:textId="4B854740" w:rsidR="006374B4" w:rsidRDefault="006374B4">
    <w:pPr>
      <w:pStyle w:val="Header"/>
    </w:pPr>
    <w:r>
      <w:rPr>
        <w:noProof/>
      </w:rPr>
      <mc:AlternateContent>
        <mc:Choice Requires="wps">
          <w:drawing>
            <wp:anchor distT="0" distB="0" distL="0" distR="0" simplePos="0" relativeHeight="251659264" behindDoc="0" locked="0" layoutInCell="1" allowOverlap="1" wp14:anchorId="530B52CB" wp14:editId="13530D28">
              <wp:simplePos x="635" y="635"/>
              <wp:positionH relativeFrom="page">
                <wp:align>right</wp:align>
              </wp:positionH>
              <wp:positionV relativeFrom="page">
                <wp:align>top</wp:align>
              </wp:positionV>
              <wp:extent cx="443865" cy="443865"/>
              <wp:effectExtent l="0" t="0" r="0" b="17780"/>
              <wp:wrapNone/>
              <wp:docPr id="159984358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9F4D7D" w14:textId="006C8749" w:rsidR="006374B4" w:rsidRPr="006374B4" w:rsidRDefault="006374B4" w:rsidP="006374B4">
                          <w:pPr>
                            <w:spacing w:after="0"/>
                            <w:rPr>
                              <w:rFonts w:ascii="Arial" w:eastAsia="Arial" w:hAnsi="Arial" w:cs="Arial"/>
                              <w:noProof/>
                              <w:color w:val="000000"/>
                              <w:sz w:val="16"/>
                              <w:szCs w:val="16"/>
                            </w:rPr>
                          </w:pPr>
                          <w:r w:rsidRPr="006374B4">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0B52CB" id="_x0000_t202" coordsize="21600,21600" o:spt="202" path="m,l,21600r21600,l21600,xe">
              <v:stroke joinstyle="miter"/>
              <v:path gradientshapeok="t" o:connecttype="rect"/>
            </v:shapetype>
            <v:shape id="Text Box 2" o:spid="_x0000_s1026" type="#_x0000_t202" alt="[OFFICI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3E9F4D7D" w14:textId="006C8749" w:rsidR="006374B4" w:rsidRPr="006374B4" w:rsidRDefault="006374B4" w:rsidP="006374B4">
                    <w:pPr>
                      <w:spacing w:after="0"/>
                      <w:rPr>
                        <w:rFonts w:ascii="Arial" w:eastAsia="Arial" w:hAnsi="Arial" w:cs="Arial"/>
                        <w:noProof/>
                        <w:color w:val="000000"/>
                        <w:sz w:val="16"/>
                        <w:szCs w:val="16"/>
                      </w:rPr>
                    </w:pPr>
                    <w:r w:rsidRPr="006374B4">
                      <w:rPr>
                        <w:rFonts w:ascii="Arial" w:eastAsia="Arial" w:hAnsi="Arial" w:cs="Arial"/>
                        <w:noProof/>
                        <w:color w:val="000000"/>
                        <w:sz w:val="16"/>
                        <w:szCs w:val="16"/>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02F1" w14:textId="69F4BC29" w:rsidR="006374B4" w:rsidRDefault="006374B4">
    <w:pPr>
      <w:pStyle w:val="Header"/>
    </w:pPr>
    <w:r>
      <w:rPr>
        <w:noProof/>
      </w:rPr>
      <mc:AlternateContent>
        <mc:Choice Requires="wps">
          <w:drawing>
            <wp:anchor distT="0" distB="0" distL="0" distR="0" simplePos="0" relativeHeight="251660288" behindDoc="0" locked="0" layoutInCell="1" allowOverlap="1" wp14:anchorId="6CE3596B" wp14:editId="7C0719F5">
              <wp:simplePos x="1143000" y="457200"/>
              <wp:positionH relativeFrom="page">
                <wp:align>right</wp:align>
              </wp:positionH>
              <wp:positionV relativeFrom="page">
                <wp:align>top</wp:align>
              </wp:positionV>
              <wp:extent cx="443865" cy="443865"/>
              <wp:effectExtent l="0" t="0" r="0" b="17780"/>
              <wp:wrapNone/>
              <wp:docPr id="121571074"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67B8C1" w14:textId="3E27AE70" w:rsidR="006374B4" w:rsidRPr="006374B4" w:rsidRDefault="006374B4" w:rsidP="006374B4">
                          <w:pPr>
                            <w:spacing w:after="0"/>
                            <w:rPr>
                              <w:rFonts w:ascii="Arial" w:eastAsia="Arial" w:hAnsi="Arial" w:cs="Arial"/>
                              <w:noProof/>
                              <w:color w:val="000000"/>
                              <w:sz w:val="16"/>
                              <w:szCs w:val="16"/>
                            </w:rPr>
                          </w:pPr>
                          <w:r w:rsidRPr="006374B4">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CE3596B" id="_x0000_t202" coordsize="21600,21600" o:spt="202" path="m,l,21600r21600,l21600,xe">
              <v:stroke joinstyle="miter"/>
              <v:path gradientshapeok="t" o:connecttype="rect"/>
            </v:shapetype>
            <v:shape id="Text Box 3" o:spid="_x0000_s1027" type="#_x0000_t202" alt="[OFFICI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7867B8C1" w14:textId="3E27AE70" w:rsidR="006374B4" w:rsidRPr="006374B4" w:rsidRDefault="006374B4" w:rsidP="006374B4">
                    <w:pPr>
                      <w:spacing w:after="0"/>
                      <w:rPr>
                        <w:rFonts w:ascii="Arial" w:eastAsia="Arial" w:hAnsi="Arial" w:cs="Arial"/>
                        <w:noProof/>
                        <w:color w:val="000000"/>
                        <w:sz w:val="16"/>
                        <w:szCs w:val="16"/>
                      </w:rPr>
                    </w:pPr>
                    <w:r w:rsidRPr="006374B4">
                      <w:rPr>
                        <w:rFonts w:ascii="Arial" w:eastAsia="Arial" w:hAnsi="Arial" w:cs="Arial"/>
                        <w:noProof/>
                        <w:color w:val="000000"/>
                        <w:sz w:val="16"/>
                        <w:szCs w:val="16"/>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932" w14:textId="53FFB780" w:rsidR="006374B4" w:rsidRDefault="006374B4">
    <w:pPr>
      <w:pStyle w:val="Header"/>
    </w:pPr>
    <w:r>
      <w:rPr>
        <w:noProof/>
      </w:rPr>
      <mc:AlternateContent>
        <mc:Choice Requires="wps">
          <w:drawing>
            <wp:anchor distT="0" distB="0" distL="0" distR="0" simplePos="0" relativeHeight="251658240" behindDoc="0" locked="0" layoutInCell="1" allowOverlap="1" wp14:anchorId="142F8F55" wp14:editId="3C33ACE8">
              <wp:simplePos x="635" y="635"/>
              <wp:positionH relativeFrom="page">
                <wp:align>right</wp:align>
              </wp:positionH>
              <wp:positionV relativeFrom="page">
                <wp:align>top</wp:align>
              </wp:positionV>
              <wp:extent cx="443865" cy="443865"/>
              <wp:effectExtent l="0" t="0" r="0" b="17780"/>
              <wp:wrapNone/>
              <wp:docPr id="23566956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1DE4D1" w14:textId="1BE004A3" w:rsidR="006374B4" w:rsidRPr="006374B4" w:rsidRDefault="006374B4" w:rsidP="006374B4">
                          <w:pPr>
                            <w:spacing w:after="0"/>
                            <w:rPr>
                              <w:rFonts w:ascii="Arial" w:eastAsia="Arial" w:hAnsi="Arial" w:cs="Arial"/>
                              <w:noProof/>
                              <w:color w:val="000000"/>
                              <w:sz w:val="16"/>
                              <w:szCs w:val="16"/>
                            </w:rPr>
                          </w:pPr>
                          <w:r w:rsidRPr="006374B4">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42F8F55" id="_x0000_t202" coordsize="21600,21600" o:spt="202" path="m,l,21600r21600,l21600,xe">
              <v:stroke joinstyle="miter"/>
              <v:path gradientshapeok="t" o:connecttype="rect"/>
            </v:shapetype>
            <v:shape id="Text Box 1" o:spid="_x0000_s1028" type="#_x0000_t202" alt="[OFFICI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3E1DE4D1" w14:textId="1BE004A3" w:rsidR="006374B4" w:rsidRPr="006374B4" w:rsidRDefault="006374B4" w:rsidP="006374B4">
                    <w:pPr>
                      <w:spacing w:after="0"/>
                      <w:rPr>
                        <w:rFonts w:ascii="Arial" w:eastAsia="Arial" w:hAnsi="Arial" w:cs="Arial"/>
                        <w:noProof/>
                        <w:color w:val="000000"/>
                        <w:sz w:val="16"/>
                        <w:szCs w:val="16"/>
                      </w:rPr>
                    </w:pPr>
                    <w:r w:rsidRPr="006374B4">
                      <w:rPr>
                        <w:rFonts w:ascii="Arial" w:eastAsia="Arial" w:hAnsi="Arial" w:cs="Arial"/>
                        <w:noProof/>
                        <w:color w:val="000000"/>
                        <w:sz w:val="16"/>
                        <w:szCs w:val="16"/>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0655C3"/>
    <w:multiLevelType w:val="hybridMultilevel"/>
    <w:tmpl w:val="D786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C36C4"/>
    <w:multiLevelType w:val="hybridMultilevel"/>
    <w:tmpl w:val="749C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933BB"/>
    <w:multiLevelType w:val="hybridMultilevel"/>
    <w:tmpl w:val="C51C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A6AE2"/>
    <w:multiLevelType w:val="hybridMultilevel"/>
    <w:tmpl w:val="60DC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145D2"/>
    <w:multiLevelType w:val="hybridMultilevel"/>
    <w:tmpl w:val="29EA7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EC657A"/>
    <w:multiLevelType w:val="hybridMultilevel"/>
    <w:tmpl w:val="AEC0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07DDD"/>
    <w:multiLevelType w:val="hybridMultilevel"/>
    <w:tmpl w:val="CADA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46B92"/>
    <w:multiLevelType w:val="hybridMultilevel"/>
    <w:tmpl w:val="1A0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1C419C"/>
    <w:multiLevelType w:val="hybridMultilevel"/>
    <w:tmpl w:val="7680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12B20"/>
    <w:multiLevelType w:val="hybridMultilevel"/>
    <w:tmpl w:val="461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534B7"/>
    <w:multiLevelType w:val="hybridMultilevel"/>
    <w:tmpl w:val="1FB83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209061">
    <w:abstractNumId w:val="8"/>
  </w:num>
  <w:num w:numId="2" w16cid:durableId="43413743">
    <w:abstractNumId w:val="6"/>
  </w:num>
  <w:num w:numId="3" w16cid:durableId="1825270403">
    <w:abstractNumId w:val="5"/>
  </w:num>
  <w:num w:numId="4" w16cid:durableId="1869371442">
    <w:abstractNumId w:val="4"/>
  </w:num>
  <w:num w:numId="5" w16cid:durableId="855966801">
    <w:abstractNumId w:val="7"/>
  </w:num>
  <w:num w:numId="6" w16cid:durableId="297959118">
    <w:abstractNumId w:val="3"/>
  </w:num>
  <w:num w:numId="7" w16cid:durableId="2039619225">
    <w:abstractNumId w:val="2"/>
  </w:num>
  <w:num w:numId="8" w16cid:durableId="236676840">
    <w:abstractNumId w:val="1"/>
  </w:num>
  <w:num w:numId="9" w16cid:durableId="1279144798">
    <w:abstractNumId w:val="0"/>
  </w:num>
  <w:num w:numId="10" w16cid:durableId="436029271">
    <w:abstractNumId w:val="10"/>
  </w:num>
  <w:num w:numId="11" w16cid:durableId="571163019">
    <w:abstractNumId w:val="11"/>
  </w:num>
  <w:num w:numId="12" w16cid:durableId="197352852">
    <w:abstractNumId w:val="12"/>
  </w:num>
  <w:num w:numId="13" w16cid:durableId="191000708">
    <w:abstractNumId w:val="15"/>
  </w:num>
  <w:num w:numId="14" w16cid:durableId="678972203">
    <w:abstractNumId w:val="19"/>
  </w:num>
  <w:num w:numId="15" w16cid:durableId="121507420">
    <w:abstractNumId w:val="13"/>
  </w:num>
  <w:num w:numId="16" w16cid:durableId="1323007491">
    <w:abstractNumId w:val="9"/>
  </w:num>
  <w:num w:numId="17" w16cid:durableId="156118174">
    <w:abstractNumId w:val="17"/>
  </w:num>
  <w:num w:numId="18" w16cid:durableId="1352224220">
    <w:abstractNumId w:val="14"/>
  </w:num>
  <w:num w:numId="19" w16cid:durableId="1115637392">
    <w:abstractNumId w:val="16"/>
  </w:num>
  <w:num w:numId="20" w16cid:durableId="4832748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AD4"/>
    <w:rsid w:val="0006063C"/>
    <w:rsid w:val="00071DDE"/>
    <w:rsid w:val="00085E32"/>
    <w:rsid w:val="0015074B"/>
    <w:rsid w:val="00170522"/>
    <w:rsid w:val="0029639D"/>
    <w:rsid w:val="00326F90"/>
    <w:rsid w:val="00403207"/>
    <w:rsid w:val="00542903"/>
    <w:rsid w:val="005654EE"/>
    <w:rsid w:val="006374B4"/>
    <w:rsid w:val="006862ED"/>
    <w:rsid w:val="007C7443"/>
    <w:rsid w:val="007E715D"/>
    <w:rsid w:val="007E77D2"/>
    <w:rsid w:val="008378A4"/>
    <w:rsid w:val="00AA1D8D"/>
    <w:rsid w:val="00B47730"/>
    <w:rsid w:val="00C466D3"/>
    <w:rsid w:val="00CB0664"/>
    <w:rsid w:val="00CB3017"/>
    <w:rsid w:val="00D95C81"/>
    <w:rsid w:val="00E64ADE"/>
    <w:rsid w:val="00EC79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D0403"/>
  <w14:defaultImageDpi w14:val="300"/>
  <w15:docId w15:val="{0D37737F-F289-4F31-862A-2BA98E78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C74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6310">
      <w:bodyDiv w:val="1"/>
      <w:marLeft w:val="0"/>
      <w:marRight w:val="0"/>
      <w:marTop w:val="0"/>
      <w:marBottom w:val="0"/>
      <w:divBdr>
        <w:top w:val="none" w:sz="0" w:space="0" w:color="auto"/>
        <w:left w:val="none" w:sz="0" w:space="0" w:color="auto"/>
        <w:bottom w:val="none" w:sz="0" w:space="0" w:color="auto"/>
        <w:right w:val="none" w:sz="0" w:space="0" w:color="auto"/>
      </w:divBdr>
    </w:div>
    <w:div w:id="708602983">
      <w:bodyDiv w:val="1"/>
      <w:marLeft w:val="0"/>
      <w:marRight w:val="0"/>
      <w:marTop w:val="0"/>
      <w:marBottom w:val="0"/>
      <w:divBdr>
        <w:top w:val="none" w:sz="0" w:space="0" w:color="auto"/>
        <w:left w:val="none" w:sz="0" w:space="0" w:color="auto"/>
        <w:bottom w:val="none" w:sz="0" w:space="0" w:color="auto"/>
        <w:right w:val="none" w:sz="0" w:space="0" w:color="auto"/>
      </w:divBdr>
    </w:div>
    <w:div w:id="807282277">
      <w:bodyDiv w:val="1"/>
      <w:marLeft w:val="0"/>
      <w:marRight w:val="0"/>
      <w:marTop w:val="0"/>
      <w:marBottom w:val="0"/>
      <w:divBdr>
        <w:top w:val="none" w:sz="0" w:space="0" w:color="auto"/>
        <w:left w:val="none" w:sz="0" w:space="0" w:color="auto"/>
        <w:bottom w:val="none" w:sz="0" w:space="0" w:color="auto"/>
        <w:right w:val="none" w:sz="0" w:space="0" w:color="auto"/>
      </w:divBdr>
    </w:div>
    <w:div w:id="1603491174">
      <w:bodyDiv w:val="1"/>
      <w:marLeft w:val="0"/>
      <w:marRight w:val="0"/>
      <w:marTop w:val="0"/>
      <w:marBottom w:val="0"/>
      <w:divBdr>
        <w:top w:val="none" w:sz="0" w:space="0" w:color="auto"/>
        <w:left w:val="none" w:sz="0" w:space="0" w:color="auto"/>
        <w:bottom w:val="none" w:sz="0" w:space="0" w:color="auto"/>
        <w:right w:val="none" w:sz="0" w:space="0" w:color="auto"/>
      </w:divBdr>
    </w:div>
    <w:div w:id="1940798967">
      <w:bodyDiv w:val="1"/>
      <w:marLeft w:val="0"/>
      <w:marRight w:val="0"/>
      <w:marTop w:val="0"/>
      <w:marBottom w:val="0"/>
      <w:divBdr>
        <w:top w:val="none" w:sz="0" w:space="0" w:color="auto"/>
        <w:left w:val="none" w:sz="0" w:space="0" w:color="auto"/>
        <w:bottom w:val="none" w:sz="0" w:space="0" w:color="auto"/>
        <w:right w:val="none" w:sz="0" w:space="0" w:color="auto"/>
      </w:divBdr>
    </w:div>
    <w:div w:id="205954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Ware, Wendy</cp:lastModifiedBy>
  <cp:revision>6</cp:revision>
  <cp:lastPrinted>2024-04-22T06:40:00Z</cp:lastPrinted>
  <dcterms:created xsi:type="dcterms:W3CDTF">2024-04-22T05:57:00Z</dcterms:created>
  <dcterms:modified xsi:type="dcterms:W3CDTF">2024-04-22T06:40:00Z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e0c083f,5f5bacfc,73f0702</vt:lpwstr>
  </property>
  <property fmtid="{D5CDD505-2E9C-101B-9397-08002B2CF9AE}" pid="3" name="ClassificationContentMarkingHeaderFontProps">
    <vt:lpwstr>#000000,8,Arial</vt:lpwstr>
  </property>
  <property fmtid="{D5CDD505-2E9C-101B-9397-08002B2CF9AE}" pid="4" name="ClassificationContentMarkingHeaderText">
    <vt:lpwstr>[OFFICIAL]</vt:lpwstr>
  </property>
  <property fmtid="{D5CDD505-2E9C-101B-9397-08002B2CF9AE}" pid="5" name="MSIP_Label_e3f2a5e4-10d8-4dfe-8082-7352c27520cb_Enabled">
    <vt:lpwstr>true</vt:lpwstr>
  </property>
  <property fmtid="{D5CDD505-2E9C-101B-9397-08002B2CF9AE}" pid="6" name="MSIP_Label_e3f2a5e4-10d8-4dfe-8082-7352c27520cb_SetDate">
    <vt:lpwstr>2024-04-11T15:20:25Z</vt:lpwstr>
  </property>
  <property fmtid="{D5CDD505-2E9C-101B-9397-08002B2CF9AE}" pid="7" name="MSIP_Label_e3f2a5e4-10d8-4dfe-8082-7352c27520cb_Method">
    <vt:lpwstr>Standard</vt:lpwstr>
  </property>
  <property fmtid="{D5CDD505-2E9C-101B-9397-08002B2CF9AE}" pid="8" name="MSIP_Label_e3f2a5e4-10d8-4dfe-8082-7352c27520cb_Name">
    <vt:lpwstr>_Official</vt:lpwstr>
  </property>
  <property fmtid="{D5CDD505-2E9C-101B-9397-08002B2CF9AE}" pid="9" name="MSIP_Label_e3f2a5e4-10d8-4dfe-8082-7352c27520cb_SiteId">
    <vt:lpwstr>2864f69d-77c3-4fbe-bbc0-97502052391a</vt:lpwstr>
  </property>
  <property fmtid="{D5CDD505-2E9C-101B-9397-08002B2CF9AE}" pid="10" name="MSIP_Label_e3f2a5e4-10d8-4dfe-8082-7352c27520cb_ActionId">
    <vt:lpwstr>891aef2a-5151-4324-9ae0-ab4a97dac0a0</vt:lpwstr>
  </property>
  <property fmtid="{D5CDD505-2E9C-101B-9397-08002B2CF9AE}" pid="11" name="MSIP_Label_e3f2a5e4-10d8-4dfe-8082-7352c27520cb_ContentBits">
    <vt:lpwstr>1</vt:lpwstr>
  </property>
</Properties>
</file>