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A0103">
      <w:pPr>
        <w:widowControl/>
        <w:ind w:left="-283" w:leftChars="-101" w:right="-339" w:rightChars="-121"/>
        <w:jc w:val="center"/>
        <w:rPr>
          <w:rFonts w:ascii="Times New Roman" w:hAnsi="Times New Roman" w:eastAsia="方正小标宋简体" w:cs="方正小标宋简体"/>
          <w:sz w:val="36"/>
          <w:szCs w:val="36"/>
        </w:rPr>
      </w:pPr>
      <w:r>
        <w:rPr>
          <w:rFonts w:hint="eastAsia" w:ascii="Times New Roman" w:hAnsi="Times New Roman" w:eastAsia="方正小标宋简体" w:cs="方正小标宋简体"/>
          <w:sz w:val="36"/>
          <w:szCs w:val="36"/>
        </w:rPr>
        <w:t>关于开展清华大学</w:t>
      </w:r>
      <w:r>
        <w:rPr>
          <w:rFonts w:hint="eastAsia" w:ascii="Times New Roman" w:hAnsi="Times New Roman" w:eastAsia="方正小标宋简体" w:cs="Times New Roman"/>
          <w:sz w:val="36"/>
          <w:szCs w:val="36"/>
        </w:rPr>
        <w:t>2026</w:t>
      </w:r>
      <w:r>
        <w:rPr>
          <w:rFonts w:hint="eastAsia" w:ascii="Times New Roman" w:hAnsi="Times New Roman" w:eastAsia="方正小标宋简体" w:cs="方正小标宋简体"/>
          <w:sz w:val="36"/>
          <w:szCs w:val="36"/>
        </w:rPr>
        <w:t>年寒假本科生海外社会实践</w:t>
      </w:r>
      <w:r>
        <w:rPr>
          <w:rFonts w:ascii="Times New Roman" w:hAnsi="Times New Roman" w:eastAsia="方正小标宋简体" w:cs="方正小标宋简体"/>
          <w:sz w:val="36"/>
          <w:szCs w:val="36"/>
        </w:rPr>
        <w:br w:type="textWrapping"/>
      </w:r>
      <w:r>
        <w:rPr>
          <w:rFonts w:hint="eastAsia" w:ascii="Times New Roman" w:hAnsi="Times New Roman" w:eastAsia="方正小标宋简体" w:cs="方正小标宋简体"/>
          <w:sz w:val="36"/>
          <w:szCs w:val="36"/>
        </w:rPr>
        <w:t>支持计划的通知</w:t>
      </w:r>
    </w:p>
    <w:p w14:paraId="34057AE0">
      <w:pPr>
        <w:widowControl/>
        <w:jc w:val="right"/>
        <w:rPr>
          <w:rFonts w:ascii="Times New Roman" w:hAnsi="Times New Roman" w:eastAsia="仿宋_GB2312" w:cs="Times New Roman"/>
          <w:sz w:val="32"/>
          <w:szCs w:val="32"/>
          <w:highlight w:val="none"/>
        </w:rPr>
      </w:pPr>
      <w:r>
        <w:rPr>
          <w:rFonts w:ascii="Times New Roman" w:hAnsi="Times New Roman" w:eastAsia="仿宋_GB2312" w:cs="Times New Roman"/>
          <w:sz w:val="32"/>
          <w:szCs w:val="32"/>
          <w:lang w:bidi="ar"/>
        </w:rPr>
        <w:t>清团发</w:t>
      </w:r>
      <w:r>
        <w:rPr>
          <w:rFonts w:ascii="Times New Roman" w:hAnsi="Times New Roman" w:eastAsia="仿宋_GB2312" w:cs="Times New Roman"/>
          <w:sz w:val="32"/>
          <w:szCs w:val="32"/>
          <w:highlight w:val="none"/>
        </w:rPr>
        <w:t>〔</w:t>
      </w:r>
      <w:r>
        <w:rPr>
          <w:rFonts w:ascii="Times New Roman" w:hAnsi="Times New Roman" w:eastAsia="仿宋_GB2312" w:cs="Times New Roman"/>
          <w:sz w:val="32"/>
          <w:szCs w:val="32"/>
          <w:highlight w:val="none"/>
          <w:lang w:bidi="ar"/>
        </w:rPr>
        <w:t>202</w:t>
      </w:r>
      <w:r>
        <w:rPr>
          <w:rFonts w:hint="eastAsia" w:ascii="Times New Roman" w:hAnsi="Times New Roman" w:eastAsia="仿宋_GB2312" w:cs="Times New Roman"/>
          <w:sz w:val="32"/>
          <w:szCs w:val="32"/>
          <w:highlight w:val="none"/>
          <w:lang w:bidi="ar"/>
        </w:rPr>
        <w:t>5</w:t>
      </w:r>
      <w:r>
        <w:rPr>
          <w:rFonts w:ascii="Times New Roman" w:hAnsi="Times New Roman" w:eastAsia="仿宋_GB2312" w:cs="Times New Roman"/>
          <w:sz w:val="32"/>
          <w:szCs w:val="32"/>
          <w:highlight w:val="none"/>
        </w:rPr>
        <w:t>〕</w:t>
      </w:r>
      <w:r>
        <w:rPr>
          <w:rFonts w:hint="eastAsia" w:ascii="Times New Roman" w:hAnsi="Times New Roman" w:eastAsia="仿宋_GB2312" w:cs="Times New Roman"/>
          <w:sz w:val="32"/>
          <w:szCs w:val="32"/>
          <w:highlight w:val="none"/>
          <w:lang w:val="en-US" w:eastAsia="zh-CN"/>
        </w:rPr>
        <w:t>46</w:t>
      </w:r>
      <w:r>
        <w:rPr>
          <w:rFonts w:ascii="Times New Roman" w:hAnsi="Times New Roman" w:eastAsia="仿宋_GB2312" w:cs="Times New Roman"/>
          <w:sz w:val="32"/>
          <w:szCs w:val="32"/>
          <w:highlight w:val="none"/>
          <w:lang w:bidi="ar"/>
        </w:rPr>
        <w:t>号</w:t>
      </w:r>
    </w:p>
    <w:p w14:paraId="5147B259">
      <w:pPr>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各院系、书院团（工）委：</w:t>
      </w:r>
    </w:p>
    <w:p w14:paraId="4691EB68">
      <w:pPr>
        <w:spacing w:before="156" w:beforeLines="50"/>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为深入学习贯彻党的二十届四中全会精神，落实《清华大学2030全球战略》，通过青年外交推进中国式现代化、推动构建人类命运共同体，培养更多具有国际视野和全球胜任力的优秀人才，校团委设立清华大学2026年寒假本科生海外社会实践支持计划（以下简称“支持计划”），方案如下：</w:t>
      </w:r>
    </w:p>
    <w:p w14:paraId="6700BDE9">
      <w:pPr>
        <w:spacing w:before="156" w:beforeLines="50"/>
        <w:ind w:firstLine="640" w:firstLineChars="200"/>
        <w:rPr>
          <w:rFonts w:hint="eastAsia" w:ascii="黑体" w:hAnsi="黑体" w:eastAsia="黑体" w:cs="黑体"/>
          <w:sz w:val="32"/>
          <w:szCs w:val="32"/>
        </w:rPr>
      </w:pPr>
      <w:r>
        <w:rPr>
          <w:rFonts w:hint="eastAsia" w:ascii="黑体" w:hAnsi="黑体" w:eastAsia="黑体" w:cs="黑体"/>
          <w:sz w:val="32"/>
          <w:szCs w:val="32"/>
        </w:rPr>
        <w:t>一、总体设计</w:t>
      </w:r>
    </w:p>
    <w:p w14:paraId="22827846">
      <w:pPr>
        <w:spacing w:before="156" w:beforeLines="50"/>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支持计划采用学校统筹管理与主责单位重点指导相结合</w:t>
      </w:r>
      <w:r>
        <w:rPr>
          <w:rFonts w:hint="eastAsia" w:ascii="Times New Roman" w:hAnsi="Times New Roman" w:eastAsia="仿宋_GB2312" w:cs="Times New Roman"/>
          <w:sz w:val="32"/>
          <w:szCs w:val="32"/>
          <w:lang w:val="en-US" w:eastAsia="zh-CN"/>
        </w:rPr>
        <w:t>的方式</w:t>
      </w:r>
      <w:r>
        <w:rPr>
          <w:rFonts w:hint="eastAsia" w:ascii="Times New Roman" w:hAnsi="Times New Roman" w:eastAsia="仿宋_GB2312" w:cs="Times New Roman"/>
          <w:sz w:val="32"/>
          <w:szCs w:val="32"/>
        </w:rPr>
        <w:t>，为学生开展海外社会实践提供资源支持。各主责单位组织支队报名支持计划，确定支队构成、经费来源、外联情况、带队教师与辅导员安排等，并全程深度指导支队工作。校团委将在实践出行前后，采用函评、答辩等方式组织支队评审，对支队实践开展情况进行考察（参见附件1《2026年寒假本科生海外社会实践支持计划评审方案》），并根据评审结果确定支队的经费支持情况。</w:t>
      </w:r>
    </w:p>
    <w:p w14:paraId="024CED1A">
      <w:pPr>
        <w:spacing w:before="156" w:beforeLines="50"/>
        <w:ind w:firstLine="640" w:firstLineChars="200"/>
        <w:rPr>
          <w:rFonts w:hint="eastAsia" w:ascii="黑体" w:hAnsi="黑体" w:eastAsia="黑体" w:cs="黑体"/>
          <w:sz w:val="32"/>
          <w:szCs w:val="32"/>
        </w:rPr>
      </w:pPr>
      <w:r>
        <w:rPr>
          <w:rFonts w:hint="eastAsia" w:ascii="黑体" w:hAnsi="黑体" w:eastAsia="黑体" w:cs="黑体"/>
          <w:sz w:val="32"/>
          <w:szCs w:val="32"/>
        </w:rPr>
        <w:t>二、实践主题</w:t>
      </w:r>
    </w:p>
    <w:p w14:paraId="1193898E">
      <w:pPr>
        <w:spacing w:before="50"/>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本次寒假海外社会实践的主题为“全球责任与中国青年实践”。支队应围绕该主题确定实践调研方案，引领青年学生进一步认识国际舞台上的中国形象，深刻理解人类社会发展前景，积极参与全球治理与可持续发展进程，展现新时代中国青年的责任意识与全球视野。</w:t>
      </w:r>
    </w:p>
    <w:p w14:paraId="3C5B2A69">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各支队可聚焦文明互鉴、专业前沿、青年交流、志愿服务、全球治理等具体方向，有针对性地开展海外实践。</w:t>
      </w:r>
    </w:p>
    <w:p w14:paraId="0ED5D113">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（一）文明互鉴：感知多元文化，探究发展路径</w:t>
      </w:r>
    </w:p>
    <w:p w14:paraId="4FFE1B8C">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可以深入海外城乡社区，亲身感知世界文明多样性，在青年交流对话中理解全球文明倡议的重要意义。鼓励支队通过田野调查等方式调研当地政治、经济、文化、社会和生态文明建设情况，并结合国内相关领域的发展情况，以“中外对照”的方式分析各国在现代化道路上的特点，产出高质量学术成果。鼓励支队前往“一带一路”沿线国家，针对基础设施“硬联通”、规则标准“软联通”、同共建国家人民“心联通”开展调研，总结 “一带一路”倡议实施过程中的现实成果和有益经验，为推进高质量共建“一带一路”出谋划策。</w:t>
      </w:r>
    </w:p>
    <w:p w14:paraId="2F0D8C08">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（二）专业前沿：触摸技术前沿，开展学术交流</w:t>
      </w:r>
    </w:p>
    <w:p w14:paraId="19DD7526">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可以结合专业学习内容，前往海外知名高校、科研院所、科技创新企业等，了解相关领域科学技术发展前沿、成果转移孵化情况，提升专业认识广度，深入思考新质生产力的基本内涵、形成条件和发展重点。可以与高校师生、科研人员、一线工程师、企业负责人等交流，了解认识不同国家和地区的科技创新与人才培养机制。鼓励支队成员结合自身研究课题、学术训练项目开展调研</w:t>
      </w:r>
      <w:r>
        <w:rPr>
          <w:rFonts w:hint="eastAsia" w:ascii="Times New Roman" w:hAnsi="Times New Roman" w:eastAsia="仿宋_GB2312" w:cs="Times New Roman"/>
          <w:sz w:val="32"/>
          <w:szCs w:val="32"/>
          <w:lang w:val="en-US" w:eastAsia="zh-CN"/>
        </w:rPr>
        <w:t>和</w:t>
      </w:r>
      <w:r>
        <w:rPr>
          <w:rFonts w:hint="eastAsia" w:ascii="Times New Roman" w:hAnsi="Times New Roman" w:eastAsia="仿宋_GB2312" w:cs="Times New Roman"/>
          <w:sz w:val="32"/>
          <w:szCs w:val="32"/>
        </w:rPr>
        <w:t>学术交流，培养国际学术交流能力，推动实践成果通过各类科创赛事深入转化。</w:t>
      </w:r>
    </w:p>
    <w:p w14:paraId="69B1C893">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（三）青年交流：对话文化差异，促进全球理解</w:t>
      </w:r>
    </w:p>
    <w:p w14:paraId="32ED4EF4">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可以前往不同国家与各国青年深入互动交流，加深对不同文化背景和社会价值的认识、理解与尊重。鼓励支队成员同国际青年伙伴参与工作坊、研讨会和文化体验活动，促进语言技能和跨文化沟通能力提升，通过团队合作解决实际问题，培养国际视野和全球胜任力，探索青年在全球问题解决中的合作潜力和创新角色。</w:t>
      </w:r>
    </w:p>
    <w:p w14:paraId="1E736700">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（四）志愿服务：提供青年方案，服务教育民生</w:t>
      </w:r>
    </w:p>
    <w:p w14:paraId="16DCAD17">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可以结合自身专业和目的地需求，开展形式多样的志愿服务活动，在劳动中认识当地、理解社会，积极承担社会责任、履行全球义务。鼓励支队重点前往发展中国家，聚焦当地一线实际需求，围绕生态环保、减贫脱贫、教育发展、医疗健康和社区营造等主题，结合国际社会公益资源，打造一批“小而美”、惠民生的志愿服务项目，探索大议题下的“微方案”。鼓励有条件的支队探索志愿服务项目常态化、长效化运行机制。</w:t>
      </w:r>
    </w:p>
    <w:p w14:paraId="49AF550E">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（五）全球治理：开展“青年外交”，勇担国际责任</w:t>
      </w:r>
    </w:p>
    <w:p w14:paraId="4FBEC542">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可以围绕联合国可持续发展目标，关注饥饿贫困、气候变化、能源危机、数字鸿沟等人类面临的共同发展难题，挺膺担当，开拓进取，尝试提出跨国界、跨学科、跨地域的创新方案。可以参访当地政府机构、国际组织、社会组织等，切身理解全球发展倡议、全球安全倡议、全球文明倡议、全球治理倡议的重大意义，以实际行动弘扬全人类共同价值。鼓励支队通过青年论坛、国际会议、社交媒体等渠道，与更多青年开展跨国对话，在更高层次的平台和网络中构建全球友谊，发起青年倡议、凝聚青年共识，准备好承担未来全球领导者的青年责任，为构建“人类命运共同体”贡献青年力量。</w:t>
      </w:r>
    </w:p>
    <w:p w14:paraId="60D2274D">
      <w:pPr>
        <w:spacing w:before="156" w:beforeLines="50"/>
        <w:ind w:firstLine="640" w:firstLineChars="200"/>
        <w:rPr>
          <w:rFonts w:hint="eastAsia" w:ascii="黑体" w:hAnsi="黑体" w:eastAsia="黑体" w:cs="黑体"/>
          <w:sz w:val="32"/>
          <w:szCs w:val="32"/>
        </w:rPr>
      </w:pPr>
      <w:r>
        <w:rPr>
          <w:rFonts w:hint="eastAsia" w:ascii="黑体" w:hAnsi="黑体" w:eastAsia="黑体" w:cs="黑体"/>
          <w:sz w:val="32"/>
          <w:szCs w:val="32"/>
        </w:rPr>
        <w:t>三、实践管理</w:t>
      </w:r>
    </w:p>
    <w:p w14:paraId="793A94CE">
      <w:pPr>
        <w:spacing w:before="50"/>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（一）支队组建</w:t>
      </w:r>
    </w:p>
    <w:p w14:paraId="576B88E3">
      <w:pPr>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单位应公开发布支队成员招募通知，扩大海外实践覆盖面，确保资源有效配置。在组建海外社会实践支队时，各单位应公平公正组织选拔，结合实践主题遴选一批对海外实践有想法、有热情，语言能力较强的同学，</w:t>
      </w:r>
      <w:r>
        <w:rPr>
          <w:rFonts w:hint="eastAsia" w:ascii="Times New Roman" w:hAnsi="Times New Roman" w:eastAsia="仿宋_GB2312" w:cs="Times New Roman"/>
          <w:b/>
          <w:bCs/>
          <w:sz w:val="32"/>
          <w:szCs w:val="32"/>
        </w:rPr>
        <w:t>重点鼓励暂无海外经历的同学第一次走出国门</w:t>
      </w:r>
      <w:r>
        <w:rPr>
          <w:rFonts w:hint="eastAsia" w:ascii="Times New Roman" w:hAnsi="Times New Roman" w:eastAsia="仿宋_GB2312" w:cs="Times New Roman"/>
          <w:sz w:val="32"/>
          <w:szCs w:val="32"/>
        </w:rPr>
        <w:t>。</w:t>
      </w:r>
      <w:r>
        <w:rPr>
          <w:rFonts w:hint="eastAsia" w:ascii="Times New Roman" w:hAnsi="Times New Roman" w:eastAsia="仿宋_GB2312" w:cs="Times New Roman"/>
          <w:sz w:val="32"/>
          <w:szCs w:val="32"/>
          <w:highlight w:val="yellow"/>
        </w:rPr>
        <w:t>支队长应参与过海外实践或担任过国内实践支队长，支队员应参与过国内实践</w:t>
      </w:r>
      <w:r>
        <w:rPr>
          <w:rFonts w:hint="eastAsia" w:ascii="Times New Roman" w:hAnsi="Times New Roman" w:eastAsia="仿宋_GB2312" w:cs="Times New Roman"/>
          <w:sz w:val="32"/>
          <w:szCs w:val="32"/>
        </w:rPr>
        <w:t>。</w:t>
      </w:r>
      <w:r>
        <w:rPr>
          <w:rFonts w:hint="eastAsia" w:ascii="Times New Roman" w:hAnsi="Times New Roman" w:eastAsia="仿宋_GB2312" w:cs="Times New Roman"/>
          <w:b/>
          <w:bCs/>
          <w:sz w:val="32"/>
          <w:szCs w:val="32"/>
        </w:rPr>
        <w:t>单一支队学生人数</w:t>
      </w:r>
      <w:r>
        <w:rPr>
          <w:rFonts w:hint="eastAsia" w:ascii="Times New Roman" w:hAnsi="Times New Roman" w:eastAsia="仿宋_GB2312" w:cs="Times New Roman"/>
          <w:b/>
          <w:bCs/>
          <w:sz w:val="32"/>
          <w:szCs w:val="32"/>
          <w:highlight w:val="yellow"/>
        </w:rPr>
        <w:t>不超过14人</w:t>
      </w:r>
      <w:r>
        <w:rPr>
          <w:rFonts w:hint="eastAsia" w:ascii="Times New Roman" w:hAnsi="Times New Roman" w:eastAsia="仿宋_GB2312" w:cs="Times New Roman"/>
          <w:b/>
          <w:bCs/>
          <w:sz w:val="32"/>
          <w:szCs w:val="32"/>
        </w:rPr>
        <w:t>（含研究生）。</w:t>
      </w:r>
      <w:r>
        <w:rPr>
          <w:rFonts w:hint="eastAsia" w:ascii="Times New Roman" w:hAnsi="Times New Roman" w:eastAsia="仿宋_GB2312" w:cs="Times New Roman"/>
          <w:sz w:val="32"/>
          <w:szCs w:val="32"/>
        </w:rPr>
        <w:t>每个假期每位本科生仅能参与一次支持计划下的海外实践。</w:t>
      </w:r>
    </w:p>
    <w:p w14:paraId="536F5597">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（二）行程安排</w:t>
      </w:r>
    </w:p>
    <w:p w14:paraId="7133559F">
      <w:pPr>
        <w:tabs>
          <w:tab w:val="left" w:pos="851"/>
          <w:tab w:val="left" w:pos="1276"/>
        </w:tabs>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1. </w:t>
      </w:r>
      <w:r>
        <w:rPr>
          <w:rFonts w:ascii="Times New Roman" w:hAnsi="Times New Roman" w:eastAsia="仿宋_GB2312" w:cs="Times New Roman"/>
          <w:sz w:val="32"/>
          <w:szCs w:val="32"/>
        </w:rPr>
        <w:t>实践时间</w:t>
      </w:r>
    </w:p>
    <w:p w14:paraId="5968B7CF">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支队出行天数原则上</w:t>
      </w:r>
      <w:r>
        <w:rPr>
          <w:rFonts w:hint="eastAsia" w:ascii="Times New Roman" w:hAnsi="Times New Roman" w:eastAsia="仿宋_GB2312" w:cs="Times New Roman"/>
          <w:sz w:val="32"/>
          <w:szCs w:val="32"/>
          <w:highlight w:val="yellow"/>
        </w:rPr>
        <w:t>不少于5天，不多于12天</w:t>
      </w:r>
      <w:r>
        <w:rPr>
          <w:rFonts w:hint="eastAsia" w:ascii="Times New Roman" w:hAnsi="Times New Roman" w:eastAsia="仿宋_GB2312" w:cs="Times New Roman"/>
          <w:sz w:val="32"/>
          <w:szCs w:val="32"/>
        </w:rPr>
        <w:t>，以因公出国（境）任务批件批复的天数为准。</w:t>
      </w:r>
    </w:p>
    <w:p w14:paraId="21607491">
      <w:pPr>
        <w:tabs>
          <w:tab w:val="left" w:pos="851"/>
          <w:tab w:val="left" w:pos="1276"/>
        </w:tabs>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2. </w:t>
      </w:r>
      <w:r>
        <w:rPr>
          <w:rFonts w:ascii="Times New Roman" w:hAnsi="Times New Roman" w:eastAsia="仿宋_GB2312" w:cs="Times New Roman"/>
          <w:sz w:val="32"/>
          <w:szCs w:val="32"/>
        </w:rPr>
        <w:t>实践地点</w:t>
      </w:r>
    </w:p>
    <w:p w14:paraId="0C649587">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支队要合理规划行程，</w:t>
      </w:r>
      <w:r>
        <w:rPr>
          <w:rFonts w:hint="eastAsia" w:ascii="Times New Roman" w:hAnsi="Times New Roman" w:eastAsia="仿宋_GB2312" w:cs="Times New Roman"/>
          <w:sz w:val="32"/>
          <w:szCs w:val="32"/>
          <w:highlight w:val="yellow"/>
        </w:rPr>
        <w:t>选择</w:t>
      </w:r>
      <w:r>
        <w:rPr>
          <w:rFonts w:hint="eastAsia" w:ascii="Times New Roman" w:hAnsi="Times New Roman" w:eastAsia="仿宋_GB2312" w:cs="Times New Roman"/>
          <w:b/>
          <w:bCs/>
          <w:sz w:val="32"/>
          <w:szCs w:val="32"/>
          <w:highlight w:val="yellow"/>
        </w:rPr>
        <w:t>不超过两个城市</w:t>
      </w:r>
      <w:r>
        <w:rPr>
          <w:rFonts w:hint="eastAsia" w:ascii="Times New Roman" w:hAnsi="Times New Roman" w:eastAsia="仿宋_GB2312" w:cs="Times New Roman"/>
          <w:sz w:val="32"/>
          <w:szCs w:val="32"/>
        </w:rPr>
        <w:t>，力求将海外实践做深做实。为保证实践出行安全，支队应参考《2026年寒假本科生海外社会实践目的地安全信息表》（附件2），理性、谨慎地选择实践目的地。实践地点须与因公出国（境）任务批复保持一致。</w:t>
      </w:r>
    </w:p>
    <w:p w14:paraId="09C90E06">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 实践设计</w:t>
      </w:r>
    </w:p>
    <w:p w14:paraId="012BB594">
      <w:pPr>
        <w:ind w:firstLine="640" w:firstLineChars="200"/>
        <w:rPr>
          <w:rFonts w:ascii="Times New Roman" w:hAnsi="Times New Roman" w:eastAsia="仿宋_GB2312" w:cs="Times New Roman"/>
          <w:sz w:val="32"/>
          <w:szCs w:val="32"/>
          <w:highlight w:val="yellow"/>
        </w:rPr>
      </w:pPr>
      <w:r>
        <w:rPr>
          <w:rFonts w:hint="eastAsia" w:ascii="Times New Roman" w:hAnsi="Times New Roman" w:eastAsia="仿宋_GB2312" w:cs="Times New Roman"/>
          <w:sz w:val="32"/>
          <w:szCs w:val="32"/>
        </w:rPr>
        <w:t>支队应在带队教师、辅导员指导下，聚焦实践主题，针对实践地特点设计具体的实践调研方案，避免“走马观花”“面面俱到”。支队应开展浸润式实践，</w:t>
      </w:r>
      <w:r>
        <w:rPr>
          <w:rFonts w:hint="eastAsia" w:ascii="Times New Roman" w:hAnsi="Times New Roman" w:eastAsia="仿宋_GB2312" w:cs="Times New Roman"/>
          <w:b/>
          <w:bCs/>
          <w:sz w:val="32"/>
          <w:szCs w:val="32"/>
        </w:rPr>
        <w:t>用</w:t>
      </w:r>
      <w:r>
        <w:rPr>
          <w:rFonts w:hint="eastAsia" w:ascii="Times New Roman" w:hAnsi="Times New Roman" w:eastAsia="仿宋_GB2312" w:cs="Times New Roman"/>
          <w:b/>
          <w:bCs/>
          <w:sz w:val="32"/>
          <w:szCs w:val="32"/>
          <w:highlight w:val="yellow"/>
        </w:rPr>
        <w:t>外语与目的国家民众直接交流的行程比重应大于1/2</w:t>
      </w:r>
      <w:r>
        <w:rPr>
          <w:rFonts w:hint="eastAsia"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rPr>
        <w:t>支队应在当地发起并开展“小而精”的实践项目，关注活动实效，为当地发展做出切实贡献。鼓励支队与外联单位达成常态化合作协议，加强实践成果的转化落地。</w:t>
      </w:r>
    </w:p>
    <w:p w14:paraId="04E1A77E">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（三）立项审批</w:t>
      </w:r>
    </w:p>
    <w:p w14:paraId="5FE32D24">
      <w:pPr>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外事项目管理系统立项和学生因公出国（境）任务申请为开展海外社会实践的必要行前工作。支队应首先在</w:t>
      </w:r>
      <w:r>
        <w:rPr>
          <w:rFonts w:hint="eastAsia" w:ascii="Times New Roman" w:hAnsi="Times New Roman" w:eastAsia="仿宋_GB2312" w:cs="Times New Roman"/>
          <w:sz w:val="32"/>
          <w:szCs w:val="32"/>
          <w:highlight w:val="yellow"/>
        </w:rPr>
        <w:t>学校外事项目管理系统完成立项并获得项目编号</w:t>
      </w:r>
      <w:r>
        <w:rPr>
          <w:rFonts w:hint="eastAsia" w:ascii="Times New Roman" w:hAnsi="Times New Roman" w:eastAsia="仿宋_GB2312" w:cs="Times New Roman"/>
          <w:sz w:val="32"/>
          <w:szCs w:val="32"/>
        </w:rPr>
        <w:t>，之后按要求提交学生因公出国（境）团组申请材料。国际合作与交流处审批通过后将下达任务批复，获得任务批复的支队方能出行。</w:t>
      </w:r>
    </w:p>
    <w:p w14:paraId="2947B566">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（四）安全管理</w:t>
      </w:r>
    </w:p>
    <w:p w14:paraId="3F06D32F">
      <w:pPr>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实践支队应始终将安全放在首位，提前做好行前安全预案，了解当地紧急求助电话、政治局势、宗教与民俗文化等。支队所有成员需要签署《个人安全承诺书》和《家长知情同意书》并上交主责单位，购买符合要求的出行保险。实践期间支队要严格落实“一日一报”，与主责单位保持密切联系。主责单位要落实落细社会实践安全管理主体责任，严格督促实践支队做好安全管理工作。校团委将设立联络热线（010-62797288），为各单位、各支队提供7×24小时服务。</w:t>
      </w:r>
    </w:p>
    <w:p w14:paraId="03E096B5">
      <w:pPr>
        <w:spacing w:before="156" w:beforeLines="50"/>
        <w:ind w:firstLine="640" w:firstLineChars="200"/>
        <w:rPr>
          <w:rFonts w:hint="eastAsia" w:ascii="黑体" w:hAnsi="黑体" w:eastAsia="黑体" w:cs="黑体"/>
          <w:sz w:val="32"/>
          <w:szCs w:val="32"/>
        </w:rPr>
      </w:pPr>
      <w:r>
        <w:rPr>
          <w:rFonts w:hint="eastAsia" w:ascii="黑体" w:hAnsi="黑体" w:eastAsia="黑体" w:cs="黑体"/>
          <w:sz w:val="32"/>
          <w:szCs w:val="32"/>
        </w:rPr>
        <w:t>四、实践支持</w:t>
      </w:r>
    </w:p>
    <w:p w14:paraId="5A024F0E">
      <w:pPr>
        <w:spacing w:before="50"/>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（一）经费支持</w:t>
      </w:r>
    </w:p>
    <w:p w14:paraId="259FB9DC">
      <w:pPr>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支持计划面向</w:t>
      </w:r>
      <w:r>
        <w:rPr>
          <w:rFonts w:hint="eastAsia" w:ascii="Times New Roman" w:hAnsi="Times New Roman" w:eastAsia="仿宋_GB2312" w:cs="Times New Roman"/>
          <w:b/>
          <w:bCs/>
          <w:sz w:val="32"/>
          <w:szCs w:val="32"/>
          <w:highlight w:val="yellow"/>
        </w:rPr>
        <w:t>通过行前评审</w:t>
      </w:r>
      <w:r>
        <w:rPr>
          <w:rFonts w:hint="eastAsia" w:ascii="Times New Roman" w:hAnsi="Times New Roman" w:eastAsia="仿宋_GB2312" w:cs="Times New Roman"/>
          <w:b/>
          <w:bCs/>
          <w:sz w:val="32"/>
          <w:szCs w:val="32"/>
        </w:rPr>
        <w:t>的支队，为</w:t>
      </w:r>
      <w:r>
        <w:rPr>
          <w:rFonts w:hint="eastAsia" w:ascii="Times New Roman" w:hAnsi="Times New Roman" w:eastAsia="仿宋_GB2312" w:cs="Times New Roman"/>
          <w:b/>
          <w:bCs/>
          <w:sz w:val="32"/>
          <w:szCs w:val="32"/>
          <w:highlight w:val="yellow"/>
        </w:rPr>
        <w:t>支队中本科生</w:t>
      </w:r>
      <w:r>
        <w:rPr>
          <w:rFonts w:hint="eastAsia" w:ascii="Times New Roman" w:hAnsi="Times New Roman" w:eastAsia="仿宋_GB2312" w:cs="Times New Roman"/>
          <w:sz w:val="32"/>
          <w:szCs w:val="32"/>
        </w:rPr>
        <w:t>提供海外社会实践经费支持，研究生经费支持方案以主责单位通知为准。</w:t>
      </w:r>
      <w:r>
        <w:rPr>
          <w:rFonts w:hint="eastAsia" w:ascii="Times New Roman" w:hAnsi="Times New Roman" w:eastAsia="仿宋_GB2312" w:cs="Times New Roman"/>
          <w:b/>
          <w:bCs/>
          <w:sz w:val="32"/>
          <w:szCs w:val="32"/>
        </w:rPr>
        <w:t>未通过行前评审的支队，后续不再匹配校团委经费支持。</w:t>
      </w:r>
      <w:r>
        <w:rPr>
          <w:rFonts w:hint="eastAsia" w:ascii="Times New Roman" w:hAnsi="Times New Roman" w:eastAsia="仿宋_GB2312" w:cs="Times New Roman"/>
          <w:sz w:val="32"/>
          <w:szCs w:val="32"/>
        </w:rPr>
        <w:t>依据支持计划，每位本科生所获支持额度计算方式如下：</w:t>
      </w:r>
    </w:p>
    <w:p w14:paraId="7BA9E45E">
      <w:pPr>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1．每位本科生所获支持额度上限取以下两者的较小值：（1）下表所示各地区人均支持额度上限；（2）支队学生总开销（包括国际差旅费、国外城市间交通费、住宿费、签证费、保险费）人均值的1/3。</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7"/>
        <w:gridCol w:w="3464"/>
      </w:tblGrid>
      <w:tr w14:paraId="62AF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3397" w:type="dxa"/>
            <w:tcBorders>
              <w:bottom w:val="nil"/>
            </w:tcBorders>
            <w:vAlign w:val="center"/>
          </w:tcPr>
          <w:p w14:paraId="3FAAD3DF">
            <w:pPr>
              <w:jc w:val="center"/>
              <w:rPr>
                <w:rFonts w:ascii="Times New Roman" w:hAnsi="Times New Roman" w:eastAsia="仿宋_GB2312" w:cstheme="majorHAnsi"/>
                <w:b w:val="0"/>
                <w:bCs w:val="0"/>
                <w:color w:val="000000" w:themeColor="text1"/>
                <w:kern w:val="0"/>
                <w:szCs w:val="28"/>
                <w14:textFill>
                  <w14:solidFill>
                    <w14:schemeClr w14:val="tx1"/>
                  </w14:solidFill>
                </w14:textFill>
              </w:rPr>
            </w:pPr>
            <w:r>
              <w:rPr>
                <w:rFonts w:ascii="Times New Roman" w:hAnsi="Times New Roman" w:eastAsia="仿宋_GB2312" w:cstheme="majorHAnsi"/>
                <w:b w:val="0"/>
                <w:bCs w:val="0"/>
                <w:color w:val="000000" w:themeColor="text1"/>
                <w:kern w:val="0"/>
                <w:szCs w:val="28"/>
                <w14:textFill>
                  <w14:solidFill>
                    <w14:schemeClr w14:val="tx1"/>
                  </w14:solidFill>
                </w14:textFill>
              </w:rPr>
              <w:t>实践目的地所在地域</w:t>
            </w:r>
          </w:p>
        </w:tc>
        <w:tc>
          <w:tcPr>
            <w:tcW w:w="3464" w:type="dxa"/>
            <w:tcBorders>
              <w:bottom w:val="nil"/>
            </w:tcBorders>
            <w:vAlign w:val="center"/>
          </w:tcPr>
          <w:p w14:paraId="178EF73E">
            <w:pPr>
              <w:jc w:val="center"/>
              <w:rPr>
                <w:rFonts w:ascii="Times New Roman" w:hAnsi="Times New Roman" w:eastAsia="仿宋_GB2312" w:cstheme="majorHAnsi"/>
                <w:b w:val="0"/>
                <w:bCs w:val="0"/>
                <w:color w:val="000000" w:themeColor="text1"/>
                <w:kern w:val="0"/>
                <w:szCs w:val="28"/>
                <w14:textFill>
                  <w14:solidFill>
                    <w14:schemeClr w14:val="tx1"/>
                  </w14:solidFill>
                </w14:textFill>
              </w:rPr>
            </w:pPr>
            <w:r>
              <w:rPr>
                <w:rFonts w:hint="eastAsia" w:ascii="Times New Roman" w:hAnsi="Times New Roman" w:eastAsia="仿宋_GB2312" w:cstheme="majorHAnsi"/>
                <w:b w:val="0"/>
                <w:bCs w:val="0"/>
                <w:color w:val="000000" w:themeColor="text1"/>
                <w:kern w:val="0"/>
                <w:szCs w:val="28"/>
                <w14:textFill>
                  <w14:solidFill>
                    <w14:schemeClr w14:val="tx1"/>
                  </w14:solidFill>
                </w14:textFill>
              </w:rPr>
              <w:t>校团委人均支持额度上限（人民币）</w:t>
            </w:r>
          </w:p>
        </w:tc>
      </w:tr>
      <w:tr w14:paraId="24A7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3397" w:type="dxa"/>
            <w:vAlign w:val="center"/>
          </w:tcPr>
          <w:p w14:paraId="0CA08C6C">
            <w:pPr>
              <w:jc w:val="center"/>
              <w:rPr>
                <w:rFonts w:ascii="Times New Roman" w:hAnsi="Times New Roman" w:eastAsia="仿宋_GB2312"/>
                <w:b/>
                <w:bCs/>
                <w:color w:val="000000" w:themeColor="text1"/>
                <w:kern w:val="0"/>
                <w:szCs w:val="28"/>
                <w14:textFill>
                  <w14:solidFill>
                    <w14:schemeClr w14:val="tx1"/>
                  </w14:solidFill>
                </w14:textFill>
              </w:rPr>
            </w:pPr>
            <w:r>
              <w:rPr>
                <w:rFonts w:hint="eastAsia" w:ascii="Times New Roman" w:hAnsi="Times New Roman" w:eastAsia="仿宋_GB2312"/>
                <w:b w:val="0"/>
                <w:bCs w:val="0"/>
                <w:color w:val="000000" w:themeColor="text1"/>
                <w:kern w:val="0"/>
                <w:szCs w:val="28"/>
                <w14:textFill>
                  <w14:solidFill>
                    <w14:schemeClr w14:val="tx1"/>
                  </w14:solidFill>
                </w14:textFill>
              </w:rPr>
              <w:t>北美洲、南美洲</w:t>
            </w:r>
          </w:p>
        </w:tc>
        <w:tc>
          <w:tcPr>
            <w:tcW w:w="3464" w:type="dxa"/>
            <w:vAlign w:val="center"/>
          </w:tcPr>
          <w:p w14:paraId="0637C5AF">
            <w:pPr>
              <w:jc w:val="center"/>
              <w:rPr>
                <w:rFonts w:ascii="Times New Roman" w:hAnsi="Times New Roman" w:eastAsia="仿宋_GB2312"/>
                <w:color w:val="000000" w:themeColor="text1"/>
                <w:kern w:val="0"/>
                <w:szCs w:val="28"/>
                <w14:textFill>
                  <w14:solidFill>
                    <w14:schemeClr w14:val="tx1"/>
                  </w14:solidFill>
                </w14:textFill>
              </w:rPr>
            </w:pPr>
            <w:r>
              <w:rPr>
                <w:rFonts w:hint="eastAsia" w:ascii="Times New Roman" w:hAnsi="Times New Roman" w:eastAsia="仿宋_GB2312"/>
                <w:color w:val="000000" w:themeColor="text1"/>
                <w:kern w:val="0"/>
                <w:szCs w:val="28"/>
                <w14:textFill>
                  <w14:solidFill>
                    <w14:schemeClr w14:val="tx1"/>
                  </w14:solidFill>
                </w14:textFill>
              </w:rPr>
              <w:t>8000</w:t>
            </w:r>
          </w:p>
        </w:tc>
      </w:tr>
      <w:tr w14:paraId="4BC0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3397" w:type="dxa"/>
            <w:vAlign w:val="center"/>
          </w:tcPr>
          <w:p w14:paraId="46C41F9B">
            <w:pPr>
              <w:jc w:val="center"/>
              <w:rPr>
                <w:rFonts w:ascii="Times New Roman" w:hAnsi="Times New Roman" w:eastAsia="仿宋_GB2312"/>
                <w:b/>
                <w:bCs/>
                <w:color w:val="000000" w:themeColor="text1"/>
                <w:kern w:val="0"/>
                <w:szCs w:val="28"/>
                <w14:textFill>
                  <w14:solidFill>
                    <w14:schemeClr w14:val="tx1"/>
                  </w14:solidFill>
                </w14:textFill>
              </w:rPr>
            </w:pPr>
            <w:r>
              <w:rPr>
                <w:rFonts w:hint="eastAsia" w:ascii="Times New Roman" w:hAnsi="Times New Roman" w:eastAsia="仿宋_GB2312"/>
                <w:b w:val="0"/>
                <w:bCs w:val="0"/>
                <w:color w:val="000000" w:themeColor="text1"/>
                <w:kern w:val="0"/>
                <w:szCs w:val="28"/>
                <w14:textFill>
                  <w14:solidFill>
                    <w14:schemeClr w14:val="tx1"/>
                  </w14:solidFill>
                </w14:textFill>
              </w:rPr>
              <w:t>欧洲（除东欧）</w:t>
            </w:r>
          </w:p>
        </w:tc>
        <w:tc>
          <w:tcPr>
            <w:tcW w:w="3464" w:type="dxa"/>
            <w:vAlign w:val="center"/>
          </w:tcPr>
          <w:p w14:paraId="6CFD4802">
            <w:pPr>
              <w:jc w:val="center"/>
              <w:rPr>
                <w:rFonts w:ascii="Times New Roman" w:hAnsi="Times New Roman" w:eastAsia="仿宋_GB2312"/>
                <w:color w:val="000000" w:themeColor="text1"/>
                <w:kern w:val="0"/>
                <w:szCs w:val="28"/>
                <w14:textFill>
                  <w14:solidFill>
                    <w14:schemeClr w14:val="tx1"/>
                  </w14:solidFill>
                </w14:textFill>
              </w:rPr>
            </w:pPr>
            <w:r>
              <w:rPr>
                <w:rFonts w:hint="eastAsia" w:ascii="Times New Roman" w:hAnsi="Times New Roman" w:eastAsia="仿宋_GB2312"/>
                <w:color w:val="000000" w:themeColor="text1"/>
                <w:kern w:val="0"/>
                <w:szCs w:val="28"/>
                <w14:textFill>
                  <w14:solidFill>
                    <w14:schemeClr w14:val="tx1"/>
                  </w14:solidFill>
                </w14:textFill>
              </w:rPr>
              <w:t>7000</w:t>
            </w:r>
          </w:p>
        </w:tc>
      </w:tr>
      <w:tr w14:paraId="560E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3397" w:type="dxa"/>
            <w:vAlign w:val="center"/>
          </w:tcPr>
          <w:p w14:paraId="31DF79CC">
            <w:pPr>
              <w:jc w:val="center"/>
              <w:rPr>
                <w:rFonts w:ascii="Times New Roman" w:hAnsi="Times New Roman" w:eastAsia="仿宋_GB2312"/>
                <w:b/>
                <w:bCs/>
                <w:color w:val="000000" w:themeColor="text1"/>
                <w:kern w:val="0"/>
                <w:szCs w:val="28"/>
                <w14:textFill>
                  <w14:solidFill>
                    <w14:schemeClr w14:val="tx1"/>
                  </w14:solidFill>
                </w14:textFill>
              </w:rPr>
            </w:pPr>
            <w:r>
              <w:rPr>
                <w:rFonts w:hint="eastAsia" w:ascii="Times New Roman" w:hAnsi="Times New Roman" w:eastAsia="仿宋_GB2312"/>
                <w:b w:val="0"/>
                <w:bCs w:val="0"/>
                <w:color w:val="000000" w:themeColor="text1"/>
                <w:kern w:val="0"/>
                <w:szCs w:val="28"/>
                <w14:textFill>
                  <w14:solidFill>
                    <w14:schemeClr w14:val="tx1"/>
                  </w14:solidFill>
                </w14:textFill>
              </w:rPr>
              <w:t>西亚、非洲、大洋洲</w:t>
            </w:r>
          </w:p>
        </w:tc>
        <w:tc>
          <w:tcPr>
            <w:tcW w:w="3464" w:type="dxa"/>
            <w:vAlign w:val="center"/>
          </w:tcPr>
          <w:p w14:paraId="65505662">
            <w:pPr>
              <w:jc w:val="center"/>
              <w:rPr>
                <w:rFonts w:ascii="Times New Roman" w:hAnsi="Times New Roman" w:eastAsia="仿宋_GB2312"/>
                <w:color w:val="000000" w:themeColor="text1"/>
                <w:kern w:val="0"/>
                <w:szCs w:val="28"/>
                <w14:textFill>
                  <w14:solidFill>
                    <w14:schemeClr w14:val="tx1"/>
                  </w14:solidFill>
                </w14:textFill>
              </w:rPr>
            </w:pPr>
            <w:r>
              <w:rPr>
                <w:rFonts w:hint="eastAsia" w:ascii="Times New Roman" w:hAnsi="Times New Roman" w:eastAsia="仿宋_GB2312"/>
                <w:color w:val="000000" w:themeColor="text1"/>
                <w:kern w:val="0"/>
                <w:szCs w:val="28"/>
                <w14:textFill>
                  <w14:solidFill>
                    <w14:schemeClr w14:val="tx1"/>
                  </w14:solidFill>
                </w14:textFill>
              </w:rPr>
              <w:t>5000</w:t>
            </w:r>
          </w:p>
        </w:tc>
      </w:tr>
      <w:tr w14:paraId="673E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3397" w:type="dxa"/>
            <w:vAlign w:val="center"/>
          </w:tcPr>
          <w:p w14:paraId="1108C016">
            <w:pPr>
              <w:jc w:val="center"/>
              <w:rPr>
                <w:rFonts w:ascii="Times New Roman" w:hAnsi="Times New Roman" w:eastAsia="仿宋_GB2312"/>
                <w:b/>
                <w:bCs/>
                <w:color w:val="000000" w:themeColor="text1"/>
                <w:kern w:val="0"/>
                <w:szCs w:val="28"/>
                <w14:textFill>
                  <w14:solidFill>
                    <w14:schemeClr w14:val="tx1"/>
                  </w14:solidFill>
                </w14:textFill>
              </w:rPr>
            </w:pPr>
            <w:r>
              <w:rPr>
                <w:rFonts w:hint="eastAsia" w:ascii="Times New Roman" w:hAnsi="Times New Roman" w:eastAsia="仿宋_GB2312"/>
                <w:b w:val="0"/>
                <w:bCs w:val="0"/>
                <w:color w:val="000000" w:themeColor="text1"/>
                <w:kern w:val="0"/>
                <w:szCs w:val="28"/>
                <w14:textFill>
                  <w14:solidFill>
                    <w14:schemeClr w14:val="tx1"/>
                  </w14:solidFill>
                </w14:textFill>
              </w:rPr>
              <w:t>东欧、日本</w:t>
            </w:r>
          </w:p>
        </w:tc>
        <w:tc>
          <w:tcPr>
            <w:tcW w:w="3464" w:type="dxa"/>
            <w:vAlign w:val="center"/>
          </w:tcPr>
          <w:p w14:paraId="17BDCBC2">
            <w:pPr>
              <w:jc w:val="center"/>
              <w:rPr>
                <w:rFonts w:ascii="Times New Roman" w:hAnsi="Times New Roman" w:eastAsia="仿宋_GB2312"/>
                <w:color w:val="000000" w:themeColor="text1"/>
                <w:kern w:val="0"/>
                <w:szCs w:val="28"/>
                <w14:textFill>
                  <w14:solidFill>
                    <w14:schemeClr w14:val="tx1"/>
                  </w14:solidFill>
                </w14:textFill>
              </w:rPr>
            </w:pPr>
            <w:r>
              <w:rPr>
                <w:rFonts w:hint="eastAsia" w:ascii="Times New Roman" w:hAnsi="Times New Roman" w:eastAsia="仿宋_GB2312"/>
                <w:color w:val="000000" w:themeColor="text1"/>
                <w:kern w:val="0"/>
                <w:szCs w:val="28"/>
                <w14:textFill>
                  <w14:solidFill>
                    <w14:schemeClr w14:val="tx1"/>
                  </w14:solidFill>
                </w14:textFill>
              </w:rPr>
              <w:t>4500</w:t>
            </w:r>
          </w:p>
        </w:tc>
      </w:tr>
      <w:tr w14:paraId="0450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3397" w:type="dxa"/>
            <w:vAlign w:val="center"/>
          </w:tcPr>
          <w:p w14:paraId="67CF5029">
            <w:pPr>
              <w:jc w:val="center"/>
              <w:rPr>
                <w:rFonts w:ascii="Times New Roman" w:hAnsi="Times New Roman" w:eastAsia="仿宋_GB2312"/>
                <w:b/>
                <w:bCs/>
                <w:color w:val="000000" w:themeColor="text1"/>
                <w:kern w:val="0"/>
                <w:szCs w:val="28"/>
                <w14:textFill>
                  <w14:solidFill>
                    <w14:schemeClr w14:val="tx1"/>
                  </w14:solidFill>
                </w14:textFill>
              </w:rPr>
            </w:pPr>
            <w:r>
              <w:rPr>
                <w:rFonts w:hint="eastAsia" w:ascii="Times New Roman" w:hAnsi="Times New Roman" w:eastAsia="仿宋_GB2312"/>
                <w:b w:val="0"/>
                <w:bCs w:val="0"/>
                <w:color w:val="000000" w:themeColor="text1"/>
                <w:kern w:val="0"/>
                <w:szCs w:val="28"/>
                <w14:textFill>
                  <w14:solidFill>
                    <w14:schemeClr w14:val="tx1"/>
                  </w14:solidFill>
                </w14:textFill>
              </w:rPr>
              <w:t>亚洲（除西亚、日本）</w:t>
            </w:r>
          </w:p>
        </w:tc>
        <w:tc>
          <w:tcPr>
            <w:tcW w:w="3464" w:type="dxa"/>
            <w:vAlign w:val="center"/>
          </w:tcPr>
          <w:p w14:paraId="17431A33">
            <w:pPr>
              <w:jc w:val="center"/>
              <w:rPr>
                <w:rFonts w:ascii="Times New Roman" w:hAnsi="Times New Roman" w:eastAsia="仿宋_GB2312"/>
                <w:color w:val="000000" w:themeColor="text1"/>
                <w:kern w:val="0"/>
                <w:szCs w:val="28"/>
                <w14:textFill>
                  <w14:solidFill>
                    <w14:schemeClr w14:val="tx1"/>
                  </w14:solidFill>
                </w14:textFill>
              </w:rPr>
            </w:pPr>
            <w:r>
              <w:rPr>
                <w:rFonts w:hint="eastAsia" w:ascii="Times New Roman" w:hAnsi="Times New Roman" w:eastAsia="仿宋_GB2312"/>
                <w:color w:val="000000" w:themeColor="text1"/>
                <w:kern w:val="0"/>
                <w:szCs w:val="28"/>
                <w14:textFill>
                  <w14:solidFill>
                    <w14:schemeClr w14:val="tx1"/>
                  </w14:solidFill>
                </w14:textFill>
              </w:rPr>
              <w:t>3500</w:t>
            </w:r>
          </w:p>
        </w:tc>
      </w:tr>
    </w:tbl>
    <w:p w14:paraId="2DB533C2">
      <w:pPr>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2．每位本科生所获实际支持额度根据支队评审结果和支队成员已参与支持计划次数共同决定。</w:t>
      </w:r>
      <w:r>
        <w:rPr>
          <w:rFonts w:hint="eastAsia" w:ascii="Times New Roman" w:hAnsi="Times New Roman" w:eastAsia="仿宋_GB2312" w:cs="Times New Roman"/>
          <w:b/>
          <w:bCs/>
          <w:sz w:val="32"/>
          <w:szCs w:val="32"/>
        </w:rPr>
        <w:t>支持额度计算方式见《2026年寒假本科生海外社会实践经费报销说明》（附件3）。</w:t>
      </w:r>
      <w:r>
        <w:rPr>
          <w:rFonts w:hint="eastAsia" w:ascii="Times New Roman" w:hAnsi="Times New Roman" w:eastAsia="仿宋_GB2312" w:cs="Times New Roman"/>
          <w:sz w:val="32"/>
          <w:szCs w:val="32"/>
        </w:rPr>
        <w:t>支队实际支持额度由支队内每位本科生的实际支持额度加总决定，并统一转拨给主责单位。支队依据《清华大学学生社会实践经费管理细则》和《2026年寒假本科生海外社会实践经费报销说明》，在总支持额度内进行报销。</w:t>
      </w:r>
    </w:p>
    <w:p w14:paraId="1B8F544C">
      <w:pPr>
        <w:ind w:firstLine="641"/>
        <w:rPr>
          <w:rFonts w:ascii="楷体_GB2312" w:hAnsi="Times New Roman" w:eastAsia="楷体_GB2312" w:cs="Times New Roman"/>
          <w:sz w:val="32"/>
          <w:szCs w:val="32"/>
        </w:rPr>
      </w:pPr>
      <w:r>
        <w:rPr>
          <w:rFonts w:hint="eastAsia" w:ascii="楷体_GB2312" w:hAnsi="Times New Roman" w:eastAsia="楷体_GB2312" w:cs="Times New Roman"/>
          <w:sz w:val="32"/>
          <w:szCs w:val="32"/>
        </w:rPr>
        <w:t>（二）指导教师支持</w:t>
      </w:r>
    </w:p>
    <w:p w14:paraId="64A1B1A3">
      <w:pPr>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各支队原则上应有至少一名教师参与指导，校团委可为通过</w:t>
      </w:r>
      <w:r>
        <w:rPr>
          <w:rFonts w:hint="eastAsia" w:ascii="Times New Roman" w:hAnsi="Times New Roman" w:eastAsia="仿宋_GB2312" w:cs="Times New Roman"/>
          <w:b/>
          <w:bCs/>
          <w:sz w:val="32"/>
          <w:szCs w:val="32"/>
        </w:rPr>
        <w:t>行前评审的支队的带队教师</w:t>
      </w:r>
      <w:r>
        <w:rPr>
          <w:rFonts w:hint="eastAsia" w:ascii="Times New Roman" w:hAnsi="Times New Roman" w:eastAsia="仿宋_GB2312" w:cs="Times New Roman"/>
          <w:sz w:val="32"/>
          <w:szCs w:val="32"/>
        </w:rPr>
        <w:t>提供经费支持，每队至多支持一名带队教师。获取校团委经费支持的带队教师，需全程随队参与海外实践，并为支队的外联工作、调研过程、报告撰写等提供必要指导和帮助。</w:t>
      </w:r>
    </w:p>
    <w:p w14:paraId="2A28A5BD">
      <w:pPr>
        <w:ind w:firstLine="641"/>
        <w:rPr>
          <w:rFonts w:ascii="楷体_GB2312" w:hAnsi="Times New Roman" w:eastAsia="楷体_GB2312" w:cs="Times New Roman"/>
          <w:sz w:val="32"/>
          <w:szCs w:val="32"/>
        </w:rPr>
      </w:pPr>
      <w:r>
        <w:rPr>
          <w:rFonts w:hint="eastAsia" w:ascii="楷体_GB2312" w:hAnsi="Times New Roman" w:eastAsia="楷体_GB2312" w:cs="Times New Roman"/>
          <w:sz w:val="32"/>
          <w:szCs w:val="32"/>
        </w:rPr>
        <w:t>（三）外联支持</w:t>
      </w:r>
    </w:p>
    <w:p w14:paraId="746B103C">
      <w:pPr>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校团委将基于既有海外社会实践联络基础，结合支队实际需求，协助支队联络相关单位，包括清华大学科研教育海外基地（全球创新学院、中意设计创新基地、东南亚中心、拉美中心、中非中心）等。各支队应在主责单位和指导教师的指导、协助下，主动开展有针对性、有专业特色的实践外联工作，并在有条件的情况下推动建立清华大学学生海外社会实践基地。若有多支支队前往同一实践地国家，支队应在地区协调会上沟通外联计划，统筹协调外联资源，</w:t>
      </w:r>
      <w:r>
        <w:rPr>
          <w:rFonts w:hint="eastAsia" w:ascii="Times New Roman" w:hAnsi="Times New Roman" w:eastAsia="仿宋_GB2312" w:cs="Times New Roman"/>
          <w:b/>
          <w:bCs/>
          <w:sz w:val="32"/>
          <w:szCs w:val="32"/>
        </w:rPr>
        <w:t>避免不同支队对同一单位的重复、多轮联络</w:t>
      </w:r>
      <w:r>
        <w:rPr>
          <w:rFonts w:hint="eastAsia" w:ascii="Times New Roman" w:hAnsi="Times New Roman" w:eastAsia="仿宋_GB2312" w:cs="Times New Roman"/>
          <w:sz w:val="32"/>
          <w:szCs w:val="32"/>
        </w:rPr>
        <w:t>。</w:t>
      </w:r>
    </w:p>
    <w:p w14:paraId="4A5AC010">
      <w:pPr>
        <w:ind w:firstLine="641"/>
        <w:rPr>
          <w:rFonts w:ascii="楷体_GB2312" w:hAnsi="Times New Roman" w:eastAsia="楷体_GB2312" w:cs="Times New Roman"/>
          <w:sz w:val="32"/>
          <w:szCs w:val="32"/>
        </w:rPr>
      </w:pPr>
      <w:r>
        <w:rPr>
          <w:rFonts w:hint="eastAsia" w:ascii="楷体_GB2312" w:hAnsi="Times New Roman" w:eastAsia="楷体_GB2312" w:cs="Times New Roman"/>
          <w:sz w:val="32"/>
          <w:szCs w:val="32"/>
        </w:rPr>
        <w:t>（四）培训支持</w:t>
      </w:r>
    </w:p>
    <w:p w14:paraId="1686FFCE">
      <w:pPr>
        <w:tabs>
          <w:tab w:val="left" w:pos="851"/>
          <w:tab w:val="left" w:pos="1276"/>
        </w:tabs>
        <w:ind w:firstLine="64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支队成员均须按照国际合作与交流处要求，在荷塘雨课堂完成因公出国（境）行前培训，并线上观看学生全球胜任力发展指导中心提供的培训课程。校团委学习实践部将开展海外实践意识形态专题培训，并结合实践主题提供丰富的系列培训课程，具体培训方案参见《2026年寒假本科生海外社会实践行前培训方案》（附件4）。</w:t>
      </w:r>
    </w:p>
    <w:p w14:paraId="54103B15">
      <w:pPr>
        <w:ind w:firstLine="640" w:firstLineChars="200"/>
        <w:rPr>
          <w:rFonts w:ascii="楷体_GB2312" w:hAnsi="Times New Roman" w:eastAsia="楷体_GB2312" w:cs="Times New Roman"/>
          <w:sz w:val="32"/>
          <w:szCs w:val="32"/>
        </w:rPr>
      </w:pPr>
      <w:r>
        <w:rPr>
          <w:rFonts w:hint="eastAsia" w:ascii="楷体_GB2312" w:hAnsi="Times New Roman" w:eastAsia="楷体_GB2312" w:cs="Times New Roman"/>
          <w:sz w:val="32"/>
          <w:szCs w:val="32"/>
        </w:rPr>
        <w:t>（五）宣传支持</w:t>
      </w:r>
    </w:p>
    <w:p w14:paraId="0DB765C8">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校团委将统筹加强实践成果宣传，以图文、短视频等形式重点宣传支队阶段性、代表性成果。对于优质实践成果，校团委和学生全球胜任力发展指导中心将协助各支队在校内外各级媒体投送宣传稿件。各支队应明确宣传方案并定期发布实践宣传稿件，主动开展有特色的主题宣传。</w:t>
      </w:r>
    </w:p>
    <w:p w14:paraId="4FC85244">
      <w:pPr>
        <w:spacing w:before="156" w:beforeLines="50"/>
        <w:ind w:firstLine="640" w:firstLineChars="200"/>
        <w:rPr>
          <w:rFonts w:hint="eastAsia" w:ascii="黑体" w:hAnsi="黑体" w:eastAsia="黑体" w:cs="黑体"/>
          <w:sz w:val="32"/>
          <w:szCs w:val="32"/>
        </w:rPr>
      </w:pPr>
      <w:r>
        <w:rPr>
          <w:rFonts w:hint="eastAsia" w:ascii="黑体" w:hAnsi="黑体" w:eastAsia="黑体" w:cs="黑体"/>
          <w:sz w:val="32"/>
          <w:szCs w:val="32"/>
        </w:rPr>
        <w:t>五、报名方式</w:t>
      </w:r>
    </w:p>
    <w:p w14:paraId="5308E5C6">
      <w:pPr>
        <w:pStyle w:val="2"/>
        <w:spacing w:before="50"/>
        <w:ind w:firstLine="64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由主责单位统一填写《2026年寒假本科生海外社会实践立项表》（附件5），签字盖章后扫描成电子版提交至实践部联系邮箱，提交截止时间为12月1日（第十二周周一）22:00。</w:t>
      </w:r>
    </w:p>
    <w:p w14:paraId="1763CC6D">
      <w:pPr>
        <w:pStyle w:val="2"/>
        <w:ind w:firstLine="640"/>
        <w:rPr>
          <w:rFonts w:ascii="Times New Roman" w:hAnsi="Times New Roman" w:eastAsia="仿宋_GB2312"/>
          <w:sz w:val="32"/>
        </w:rPr>
      </w:pPr>
    </w:p>
    <w:p w14:paraId="07AB4644">
      <w:pPr>
        <w:pStyle w:val="2"/>
        <w:ind w:firstLine="640"/>
        <w:rPr>
          <w:rFonts w:ascii="Times New Roman" w:hAnsi="Times New Roman" w:eastAsia="仿宋_GB2312"/>
          <w:sz w:val="32"/>
        </w:rPr>
      </w:pPr>
      <w:r>
        <w:rPr>
          <w:rFonts w:hint="eastAsia" w:ascii="Times New Roman" w:hAnsi="Times New Roman" w:eastAsia="仿宋_GB2312"/>
          <w:sz w:val="32"/>
        </w:rPr>
        <w:t>联 系 人：殷翔宇，13331345943</w:t>
      </w:r>
    </w:p>
    <w:p w14:paraId="048708F5">
      <w:pPr>
        <w:pStyle w:val="2"/>
        <w:ind w:firstLine="2240" w:firstLineChars="700"/>
        <w:rPr>
          <w:rFonts w:ascii="Times New Roman" w:hAnsi="Times New Roman" w:eastAsia="仿宋_GB2312"/>
          <w:sz w:val="32"/>
        </w:rPr>
      </w:pPr>
      <w:r>
        <w:rPr>
          <w:rFonts w:hint="eastAsia" w:ascii="Times New Roman" w:hAnsi="Times New Roman" w:eastAsia="仿宋_GB2312"/>
          <w:sz w:val="32"/>
        </w:rPr>
        <w:t>马洪彪，18800155831</w:t>
      </w:r>
    </w:p>
    <w:p w14:paraId="05F8EA2C">
      <w:pPr>
        <w:pStyle w:val="2"/>
        <w:ind w:firstLine="640"/>
        <w:rPr>
          <w:rFonts w:ascii="Times New Roman" w:hAnsi="Times New Roman" w:eastAsia="仿宋_GB2312"/>
          <w:sz w:val="32"/>
        </w:rPr>
      </w:pPr>
      <w:r>
        <w:rPr>
          <w:rFonts w:hint="eastAsia" w:ascii="Times New Roman" w:hAnsi="Times New Roman" w:eastAsia="仿宋_GB2312"/>
          <w:sz w:val="32"/>
        </w:rPr>
        <w:t>联系邮箱：practice@mail.tsinghua.edu.cn</w:t>
      </w:r>
    </w:p>
    <w:p w14:paraId="393C5D58">
      <w:pPr>
        <w:rPr>
          <w:rFonts w:ascii="Times New Roman" w:hAnsi="Times New Roman" w:eastAsia="仿宋_GB2312" w:cs="Times New Roman"/>
          <w:sz w:val="32"/>
          <w:szCs w:val="32"/>
        </w:rPr>
      </w:pPr>
    </w:p>
    <w:p w14:paraId="5BD5DE1F">
      <w:pPr>
        <w:rPr>
          <w:rFonts w:ascii="Times New Roman" w:hAnsi="Times New Roman" w:eastAsia="仿宋_GB2312" w:cs="Times New Roman"/>
          <w:sz w:val="32"/>
          <w:szCs w:val="32"/>
        </w:rPr>
      </w:pPr>
    </w:p>
    <w:p w14:paraId="36B72D58">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附件：</w:t>
      </w:r>
    </w:p>
    <w:p w14:paraId="2C5359E5">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bookmarkStart w:id="0" w:name="_Hlk212369836"/>
      <w:r>
        <w:rPr>
          <w:rFonts w:hint="eastAsia" w:ascii="Times New Roman" w:hAnsi="Times New Roman" w:eastAsia="仿宋_GB2312" w:cs="Times New Roman"/>
          <w:sz w:val="32"/>
          <w:szCs w:val="32"/>
        </w:rPr>
        <w:t xml:space="preserve"> 2026年寒假</w:t>
      </w:r>
      <w:bookmarkEnd w:id="0"/>
      <w:r>
        <w:rPr>
          <w:rFonts w:hint="eastAsia" w:ascii="Times New Roman" w:hAnsi="Times New Roman" w:eastAsia="仿宋_GB2312" w:cs="Times New Roman"/>
          <w:sz w:val="32"/>
          <w:szCs w:val="32"/>
        </w:rPr>
        <w:t>本科生海外社会实践支持计划评审方案</w:t>
      </w:r>
    </w:p>
    <w:p w14:paraId="14AC6044">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 2026年寒假本科生海外社会实践目的地安全信息表</w:t>
      </w:r>
    </w:p>
    <w:p w14:paraId="33F5BB6A">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2026年寒假本科生海外社会实践经费报销说明</w:t>
      </w:r>
    </w:p>
    <w:p w14:paraId="75239983">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 2026年寒假本科生海外社会实践行前培训方案</w:t>
      </w:r>
    </w:p>
    <w:p w14:paraId="71C525C8">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 2026年寒假本科生海外社会实践立项表</w:t>
      </w:r>
    </w:p>
    <w:p w14:paraId="334758C7">
      <w:pPr>
        <w:ind w:right="280"/>
        <w:rPr>
          <w:rFonts w:ascii="Times New Roman" w:hAnsi="Times New Roman" w:eastAsia="仿宋_GB2312"/>
        </w:rPr>
      </w:pPr>
    </w:p>
    <w:p w14:paraId="53258C27">
      <w:pPr>
        <w:ind w:right="280"/>
        <w:rPr>
          <w:rFonts w:ascii="Times New Roman" w:hAnsi="Times New Roman" w:eastAsia="仿宋_GB2312"/>
        </w:rPr>
      </w:pPr>
    </w:p>
    <w:p w14:paraId="627EA768">
      <w:pPr>
        <w:ind w:right="280"/>
        <w:rPr>
          <w:rFonts w:ascii="Times New Roman" w:hAnsi="Times New Roman" w:eastAsia="仿宋_GB2312"/>
        </w:rPr>
      </w:pPr>
    </w:p>
    <w:p w14:paraId="2FE9288F">
      <w:pPr>
        <w:ind w:firstLine="640" w:firstLineChars="20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共青团清华大学委员会</w:t>
      </w:r>
    </w:p>
    <w:p w14:paraId="1EC5BF62">
      <w:pPr>
        <w:wordWrap w:val="0"/>
        <w:jc w:val="right"/>
        <w:rPr>
          <w:rFonts w:ascii="Times New Roman" w:hAnsi="Times New Roman" w:eastAsia="仿宋_GB2312" w:cs="Times New Roman"/>
          <w:sz w:val="32"/>
          <w:szCs w:val="32"/>
          <w:highlight w:val="none"/>
        </w:rPr>
      </w:pPr>
      <w:r>
        <w:rPr>
          <w:rFonts w:ascii="Times New Roman" w:hAnsi="Times New Roman" w:eastAsia="仿宋_GB2312" w:cs="Times New Roman"/>
          <w:sz w:val="32"/>
          <w:szCs w:val="32"/>
          <w:highlight w:val="none"/>
        </w:rPr>
        <w:t>202</w:t>
      </w:r>
      <w:r>
        <w:rPr>
          <w:rFonts w:hint="eastAsia" w:ascii="Times New Roman" w:hAnsi="Times New Roman" w:eastAsia="仿宋_GB2312" w:cs="Times New Roman"/>
          <w:sz w:val="32"/>
          <w:szCs w:val="32"/>
          <w:highlight w:val="none"/>
        </w:rPr>
        <w:t>5</w:t>
      </w:r>
      <w:r>
        <w:rPr>
          <w:rFonts w:ascii="Times New Roman" w:hAnsi="Times New Roman" w:eastAsia="仿宋_GB2312" w:cs="Times New Roman"/>
          <w:sz w:val="32"/>
          <w:szCs w:val="32"/>
          <w:highlight w:val="none"/>
        </w:rPr>
        <w:t>年</w:t>
      </w:r>
      <w:r>
        <w:rPr>
          <w:rFonts w:hint="eastAsia" w:ascii="Times New Roman" w:hAnsi="Times New Roman" w:eastAsia="仿宋_GB2312" w:cs="Times New Roman"/>
          <w:sz w:val="32"/>
          <w:szCs w:val="32"/>
          <w:highlight w:val="none"/>
        </w:rPr>
        <w:t>11</w:t>
      </w:r>
      <w:r>
        <w:rPr>
          <w:rFonts w:ascii="Times New Roman" w:hAnsi="Times New Roman" w:eastAsia="仿宋_GB2312" w:cs="Times New Roman"/>
          <w:sz w:val="32"/>
          <w:szCs w:val="32"/>
          <w:highlight w:val="none"/>
        </w:rPr>
        <w:t>月</w:t>
      </w:r>
      <w:r>
        <w:rPr>
          <w:rFonts w:hint="eastAsia" w:ascii="Times New Roman" w:hAnsi="Times New Roman" w:eastAsia="仿宋_GB2312" w:cs="Times New Roman"/>
          <w:sz w:val="32"/>
          <w:szCs w:val="32"/>
          <w:highlight w:val="none"/>
        </w:rPr>
        <w:t>1</w:t>
      </w:r>
      <w:r>
        <w:rPr>
          <w:rFonts w:hint="eastAsia" w:ascii="Times New Roman" w:hAnsi="Times New Roman" w:eastAsia="仿宋_GB2312" w:cs="Times New Roman"/>
          <w:sz w:val="32"/>
          <w:szCs w:val="32"/>
          <w:highlight w:val="none"/>
          <w:lang w:val="en-US" w:eastAsia="zh-CN"/>
        </w:rPr>
        <w:t>1</w:t>
      </w:r>
      <w:r>
        <w:rPr>
          <w:rFonts w:ascii="Times New Roman" w:hAnsi="Times New Roman" w:eastAsia="仿宋_GB2312" w:cs="Times New Roman"/>
          <w:sz w:val="32"/>
          <w:szCs w:val="32"/>
          <w:highlight w:val="none"/>
        </w:rPr>
        <w:t>日</w:t>
      </w:r>
      <w:r>
        <w:rPr>
          <w:rFonts w:hint="eastAsia" w:ascii="Times New Roman" w:hAnsi="Times New Roman" w:eastAsia="仿宋_GB2312" w:cs="Times New Roman"/>
          <w:sz w:val="32"/>
          <w:szCs w:val="32"/>
          <w:highlight w:val="none"/>
        </w:rPr>
        <w:t xml:space="preserve"> </w:t>
      </w:r>
    </w:p>
    <w:p w14:paraId="234BC661">
      <w:pPr>
        <w:widowControl/>
        <w:spacing w:line="240" w:lineRule="auto"/>
        <w:jc w:val="left"/>
        <w:rPr>
          <w:rFonts w:ascii="Times New Roman" w:hAnsi="Times New Roman" w:eastAsia="仿宋_GB2312" w:cs="Times New Roman"/>
          <w:sz w:val="32"/>
          <w:szCs w:val="32"/>
        </w:rPr>
      </w:pPr>
      <w:r>
        <w:rPr>
          <w:rFonts w:ascii="Times New Roman" w:hAnsi="Times New Roman" w:eastAsia="仿宋_GB2312" w:cs="Times New Roman"/>
          <w:sz w:val="32"/>
          <w:szCs w:val="32"/>
        </w:rPr>
        <w:br w:type="page"/>
      </w:r>
    </w:p>
    <w:p w14:paraId="2D063E6C">
      <w:pPr>
        <w:widowControl/>
        <w:spacing w:line="400" w:lineRule="exact"/>
        <w:jc w:val="left"/>
        <w:rPr>
          <w:rFonts w:ascii="Times New Roman" w:hAnsi="Times New Roman" w:eastAsia="仿宋_GB2312" w:cs="Times New Roman"/>
          <w:sz w:val="32"/>
          <w:szCs w:val="32"/>
        </w:rPr>
      </w:pPr>
      <w:r>
        <w:rPr>
          <w:rFonts w:hint="eastAsia" w:ascii="黑体" w:hAnsi="黑体" w:eastAsia="黑体" w:cs="Times New Roman"/>
          <w:sz w:val="32"/>
          <w:szCs w:val="32"/>
        </w:rPr>
        <w:t>附件</w:t>
      </w:r>
      <w:r>
        <w:rPr>
          <w:rFonts w:hint="eastAsia" w:ascii="Times New Roman" w:hAnsi="Times New Roman" w:eastAsia="仿宋_GB2312" w:cs="Times New Roman"/>
          <w:sz w:val="32"/>
          <w:szCs w:val="32"/>
        </w:rPr>
        <w:t>1</w:t>
      </w:r>
    </w:p>
    <w:p w14:paraId="63957E23">
      <w:pPr>
        <w:ind w:firstLine="640" w:firstLineChars="200"/>
        <w:rPr>
          <w:rFonts w:ascii="方正小标宋简体" w:hAnsi="Times New Roman" w:eastAsia="方正小标宋简体" w:cs="Times New Roman"/>
          <w:sz w:val="32"/>
          <w:szCs w:val="32"/>
        </w:rPr>
      </w:pPr>
      <w:r>
        <w:rPr>
          <w:rFonts w:hint="eastAsia" w:ascii="Times New Roman" w:hAnsi="Times New Roman" w:eastAsia="仿宋_GB2312" w:cs="Times New Roman"/>
          <w:sz w:val="32"/>
          <w:szCs w:val="32"/>
        </w:rPr>
        <w:t>2026</w:t>
      </w:r>
      <w:r>
        <w:rPr>
          <w:rFonts w:hint="eastAsia" w:ascii="方正小标宋简体" w:hAnsi="Times New Roman" w:eastAsia="方正小标宋简体" w:cs="Times New Roman"/>
          <w:sz w:val="32"/>
          <w:szCs w:val="32"/>
        </w:rPr>
        <w:t>年寒假本科生海外社会实践支持计划评审方案</w:t>
      </w:r>
    </w:p>
    <w:p w14:paraId="7914FACC">
      <w:pPr>
        <w:ind w:firstLine="560" w:firstLineChars="200"/>
        <w:rPr>
          <w:rFonts w:ascii="Times New Roman" w:hAnsi="Times New Roman" w:eastAsia="仿宋_GB2312" w:cs="Times New Roman"/>
        </w:rPr>
      </w:pPr>
      <w:r>
        <w:rPr>
          <w:rFonts w:hint="eastAsia" w:ascii="Times New Roman" w:hAnsi="Times New Roman" w:eastAsia="仿宋_GB2312" w:cs="Times New Roman"/>
        </w:rPr>
        <w:t>校团委将从实践选题价值与意义、实践前期筹备情况、实践出行管理情况、实践收获与成果等维度，分阶段进行考察。具体方案如下：</w:t>
      </w:r>
    </w:p>
    <w:p w14:paraId="34E66E81">
      <w:pPr>
        <w:ind w:firstLine="560" w:firstLineChars="200"/>
        <w:rPr>
          <w:rFonts w:ascii="Times New Roman" w:hAnsi="Times New Roman" w:eastAsia="仿宋_GB2312" w:cs="Times New Roman"/>
        </w:rPr>
      </w:pPr>
      <w:r>
        <w:rPr>
          <w:rFonts w:hint="eastAsia" w:ascii="Times New Roman" w:hAnsi="Times New Roman" w:eastAsia="仿宋_GB2312" w:cs="Times New Roman"/>
        </w:rPr>
        <w:t>一、行前评审</w:t>
      </w:r>
    </w:p>
    <w:p w14:paraId="072A113A">
      <w:pPr>
        <w:ind w:firstLine="562" w:firstLineChars="200"/>
        <w:rPr>
          <w:rFonts w:ascii="Times New Roman" w:hAnsi="Times New Roman" w:eastAsia="仿宋_GB2312" w:cs="Times New Roman"/>
        </w:rPr>
      </w:pPr>
      <w:r>
        <w:rPr>
          <w:rFonts w:hint="eastAsia" w:ascii="Times New Roman" w:hAnsi="Times New Roman" w:eastAsia="仿宋_GB2312" w:cs="Times New Roman"/>
          <w:b/>
          <w:bCs/>
        </w:rPr>
        <w:t>鼓励支队围绕立项主题，先期在国内开展同主题实践调研，为海外实践开展提供基础支撑。</w:t>
      </w:r>
      <w:r>
        <w:rPr>
          <w:rFonts w:hint="eastAsia" w:ascii="Times New Roman" w:hAnsi="Times New Roman" w:eastAsia="仿宋_GB2312" w:cs="Times New Roman"/>
        </w:rPr>
        <w:t>行前评审环节拟于秋季学期</w:t>
      </w:r>
      <w:r>
        <w:rPr>
          <w:rFonts w:hint="eastAsia" w:ascii="Times New Roman" w:hAnsi="Times New Roman" w:eastAsia="仿宋_GB2312" w:cs="Times New Roman"/>
          <w:highlight w:val="yellow"/>
        </w:rPr>
        <w:t>第14周举行</w:t>
      </w:r>
      <w:r>
        <w:rPr>
          <w:rFonts w:hint="eastAsia" w:ascii="Times New Roman" w:hAnsi="Times New Roman" w:eastAsia="仿宋_GB2312" w:cs="Times New Roman"/>
        </w:rPr>
        <w:t>。本环节重点考察是否有国内同主题实践支撑、实践主题与支持计划主题相关度、选题意义、调研聚焦性、方案可行性以及外联进度。</w:t>
      </w:r>
    </w:p>
    <w:p w14:paraId="73E380AF">
      <w:pPr>
        <w:ind w:firstLine="562" w:firstLineChars="200"/>
        <w:rPr>
          <w:rFonts w:ascii="Times New Roman" w:hAnsi="Times New Roman" w:eastAsia="仿宋_GB2312" w:cs="Times New Roman"/>
        </w:rPr>
      </w:pPr>
      <w:r>
        <w:rPr>
          <w:rFonts w:hint="eastAsia" w:ascii="Times New Roman" w:hAnsi="Times New Roman" w:eastAsia="仿宋_GB2312" w:cs="Times New Roman"/>
          <w:b/>
          <w:bCs/>
        </w:rPr>
        <w:t>行前评审的分数将</w:t>
      </w:r>
      <w:r>
        <w:rPr>
          <w:rFonts w:hint="eastAsia" w:ascii="Times New Roman" w:hAnsi="Times New Roman" w:eastAsia="仿宋_GB2312" w:cs="Times New Roman"/>
          <w:b/>
          <w:bCs/>
          <w:highlight w:val="yellow"/>
        </w:rPr>
        <w:t>按照30%的比例计入总分数</w:t>
      </w:r>
      <w:r>
        <w:rPr>
          <w:rFonts w:hint="eastAsia" w:ascii="Times New Roman" w:hAnsi="Times New Roman" w:eastAsia="仿宋_GB2312" w:cs="Times New Roman"/>
        </w:rPr>
        <w:t>。根据校团委年度实践经费额度等现实情况测算，将有40支左右的支队通过行前评审并获得支持。</w:t>
      </w:r>
      <w:r>
        <w:rPr>
          <w:rFonts w:hint="eastAsia" w:ascii="Times New Roman" w:hAnsi="Times New Roman" w:eastAsia="仿宋_GB2312" w:cs="Times New Roman"/>
          <w:b/>
          <w:bCs/>
        </w:rPr>
        <w:t>未通过行前评审的支队，无法获得校团委后续经费支持</w:t>
      </w:r>
      <w:r>
        <w:rPr>
          <w:rFonts w:hint="eastAsia" w:ascii="Times New Roman" w:hAnsi="Times New Roman" w:eastAsia="仿宋_GB2312" w:cs="Times New Roman"/>
        </w:rPr>
        <w:t>，但在完成实践的基础上仍可以参与总结评审、荣誉评定等环节。</w:t>
      </w:r>
    </w:p>
    <w:p w14:paraId="79CCB6A0">
      <w:pPr>
        <w:ind w:firstLine="560" w:firstLineChars="200"/>
        <w:rPr>
          <w:rFonts w:ascii="Times New Roman" w:hAnsi="Times New Roman" w:eastAsia="仿宋_GB2312" w:cs="Times New Roman"/>
        </w:rPr>
      </w:pPr>
      <w:r>
        <w:rPr>
          <w:rFonts w:hint="eastAsia" w:ascii="Times New Roman" w:hAnsi="Times New Roman" w:eastAsia="仿宋_GB2312" w:cs="Times New Roman"/>
        </w:rPr>
        <w:t>二、总结评审</w:t>
      </w:r>
    </w:p>
    <w:p w14:paraId="3D871E79">
      <w:pPr>
        <w:ind w:firstLine="560" w:firstLineChars="200"/>
        <w:rPr>
          <w:rFonts w:ascii="Times New Roman" w:hAnsi="Times New Roman" w:eastAsia="仿宋_GB2312" w:cs="Times New Roman"/>
        </w:rPr>
      </w:pPr>
      <w:r>
        <w:rPr>
          <w:rFonts w:hint="eastAsia" w:ascii="Times New Roman" w:hAnsi="Times New Roman" w:eastAsia="仿宋_GB2312" w:cs="Times New Roman"/>
        </w:rPr>
        <w:t>总结评审环节拟于春季学期初举行，由调研报告评审与现场展示评审两个环节组成。通过行前评审的支队必须参与总结评审，其他完成实践的支队可报名参与总结评审。各支队需在规定时间前提交调研报告、组织工作报告及现场展示用演示文稿。</w:t>
      </w:r>
    </w:p>
    <w:p w14:paraId="03A8D5A9">
      <w:pPr>
        <w:ind w:firstLine="560" w:firstLineChars="200"/>
        <w:rPr>
          <w:rFonts w:ascii="Times New Roman" w:hAnsi="Times New Roman" w:eastAsia="仿宋_GB2312" w:cs="Times New Roman"/>
          <w:b/>
          <w:bCs/>
        </w:rPr>
      </w:pPr>
      <w:r>
        <w:rPr>
          <w:rFonts w:hint="eastAsia" w:ascii="Times New Roman" w:hAnsi="Times New Roman" w:eastAsia="仿宋_GB2312" w:cs="Times New Roman"/>
        </w:rPr>
        <w:t>调研报告评审中，校团委将邀请专业老师担任评委，每份调研报告将由不少于4名老师批阅，</w:t>
      </w:r>
      <w:r>
        <w:rPr>
          <w:rFonts w:hint="eastAsia" w:ascii="Times New Roman" w:hAnsi="Times New Roman" w:eastAsia="仿宋_GB2312" w:cs="Times New Roman"/>
          <w:b/>
          <w:bCs/>
        </w:rPr>
        <w:t>调研报告评审的分数将按照20%的比例计入总分数。</w:t>
      </w:r>
    </w:p>
    <w:p w14:paraId="7F1975BA">
      <w:pPr>
        <w:ind w:firstLine="560" w:firstLineChars="200"/>
        <w:rPr>
          <w:rFonts w:ascii="Times New Roman" w:hAnsi="Times New Roman" w:eastAsia="仿宋_GB2312" w:cs="Times New Roman"/>
        </w:rPr>
      </w:pPr>
      <w:r>
        <w:rPr>
          <w:rFonts w:hint="eastAsia" w:ascii="Times New Roman" w:hAnsi="Times New Roman" w:eastAsia="仿宋_GB2312" w:cs="Times New Roman"/>
        </w:rPr>
        <w:t>现场展示评审中，校团委将组织学生海外社会实践总结答辩，邀请支队指导教师，学校各院系、部处的老师作为评委参与评审和指导，主要考察实践内容、实践收获、实践宣传及现场展示效果。</w:t>
      </w:r>
      <w:r>
        <w:rPr>
          <w:rFonts w:hint="eastAsia" w:ascii="Times New Roman" w:hAnsi="Times New Roman" w:eastAsia="仿宋_GB2312" w:cs="Times New Roman"/>
          <w:b/>
          <w:bCs/>
        </w:rPr>
        <w:t>现场展示评审的分数将按照50%的比例计入总分数。</w:t>
      </w:r>
    </w:p>
    <w:p w14:paraId="0EC66FC3">
      <w:pPr>
        <w:ind w:firstLine="560" w:firstLineChars="200"/>
        <w:rPr>
          <w:rFonts w:ascii="Times New Roman" w:hAnsi="Times New Roman" w:eastAsia="仿宋_GB2312" w:cs="Times New Roman"/>
        </w:rPr>
      </w:pPr>
      <w:r>
        <w:rPr>
          <w:rFonts w:hint="eastAsia" w:ascii="Times New Roman" w:hAnsi="Times New Roman" w:eastAsia="仿宋_GB2312" w:cs="Times New Roman"/>
        </w:rPr>
        <w:t>根据总结评审结果，校团委将评定支队所获荣誉；根据总分数，校团委将确定支队所获经费支持额度。</w:t>
      </w:r>
    </w:p>
    <w:p w14:paraId="6DBA43CF">
      <w:pPr>
        <w:widowControl/>
        <w:spacing w:line="400" w:lineRule="exact"/>
        <w:ind w:left="1280" w:hanging="1280" w:hangingChars="400"/>
        <w:jc w:val="left"/>
        <w:rPr>
          <w:rFonts w:ascii="Times New Roman" w:hAnsi="Times New Roman" w:eastAsia="仿宋_GB2312" w:cs="Times New Roman"/>
          <w:sz w:val="32"/>
          <w:szCs w:val="32"/>
        </w:rPr>
      </w:pPr>
      <w:r>
        <w:rPr>
          <w:rFonts w:hint="eastAsia" w:ascii="黑体" w:hAnsi="黑体" w:eastAsia="黑体" w:cs="Times New Roman"/>
          <w:sz w:val="32"/>
          <w:szCs w:val="32"/>
        </w:rPr>
        <w:t>附件</w:t>
      </w:r>
      <w:r>
        <w:rPr>
          <w:rFonts w:hint="eastAsia" w:ascii="Times New Roman" w:hAnsi="Times New Roman" w:eastAsia="仿宋_GB2312" w:cs="Times New Roman"/>
          <w:sz w:val="32"/>
          <w:szCs w:val="32"/>
        </w:rPr>
        <w:t>2</w:t>
      </w:r>
    </w:p>
    <w:p w14:paraId="1DC85057">
      <w:pPr>
        <w:widowControl/>
        <w:spacing w:line="400" w:lineRule="exact"/>
        <w:rPr>
          <w:rFonts w:ascii="Times New Roman" w:hAnsi="Times New Roman" w:eastAsia="仿宋_GB2312" w:cs="Times New Roman"/>
          <w:sz w:val="32"/>
          <w:szCs w:val="32"/>
        </w:rPr>
      </w:pPr>
    </w:p>
    <w:p w14:paraId="28BEE210">
      <w:pPr>
        <w:widowControl/>
        <w:spacing w:line="400" w:lineRule="exact"/>
        <w:ind w:left="1280" w:hanging="1280" w:hangingChars="400"/>
        <w:jc w:val="center"/>
        <w:rPr>
          <w:rFonts w:ascii="方正小标宋简体" w:hAnsi="Times New Roman" w:eastAsia="方正小标宋简体" w:cs="Times New Roman"/>
          <w:sz w:val="32"/>
          <w:szCs w:val="32"/>
        </w:rPr>
      </w:pPr>
      <w:r>
        <w:rPr>
          <w:rFonts w:hint="eastAsia" w:ascii="Times New Roman" w:hAnsi="Times New Roman" w:eastAsia="仿宋_GB2312" w:cs="Times New Roman"/>
          <w:sz w:val="32"/>
          <w:szCs w:val="32"/>
        </w:rPr>
        <w:t>2026</w:t>
      </w:r>
      <w:r>
        <w:rPr>
          <w:rFonts w:hint="eastAsia" w:ascii="方正小标宋简体" w:hAnsi="Times New Roman" w:eastAsia="方正小标宋简体" w:cs="Times New Roman"/>
          <w:sz w:val="32"/>
          <w:szCs w:val="32"/>
        </w:rPr>
        <w:t>年寒假本科生海外社会实践目的地安全信息表</w:t>
      </w:r>
    </w:p>
    <w:p w14:paraId="3DF34C17">
      <w:pPr>
        <w:ind w:firstLine="560"/>
        <w:rPr>
          <w:rFonts w:ascii="Times New Roman" w:hAnsi="Times New Roman" w:eastAsia="仿宋_GB2312" w:cs="Times New Roman"/>
        </w:rPr>
      </w:pPr>
      <w:r>
        <w:rPr>
          <w:rFonts w:ascii="Times New Roman" w:hAnsi="Times New Roman" w:eastAsia="仿宋_GB2312" w:cs="Times New Roman"/>
        </w:rPr>
        <w:t>根据外交部领事司官网（中国领事服务网，http://cs.mfa.gov.cn/） 发布的通知，校团委将海外安全风险信息整理如下：</w:t>
      </w:r>
    </w:p>
    <w:p w14:paraId="39BAE4C0">
      <w:pPr>
        <w:ind w:firstLine="562" w:firstLineChars="200"/>
        <w:rPr>
          <w:rFonts w:ascii="Times New Roman" w:hAnsi="Times New Roman" w:eastAsia="仿宋_GB2312" w:cs="Times New Roman"/>
          <w:b/>
          <w:bCs/>
        </w:rPr>
      </w:pPr>
      <w:r>
        <w:rPr>
          <w:rFonts w:hint="eastAsia" w:ascii="Times New Roman" w:hAnsi="Times New Roman" w:eastAsia="仿宋_GB2312" w:cs="Times New Roman"/>
          <w:b/>
          <w:bCs/>
        </w:rPr>
        <w:t xml:space="preserve">1. </w:t>
      </w:r>
      <w:r>
        <w:rPr>
          <w:rFonts w:ascii="Times New Roman" w:hAnsi="Times New Roman" w:eastAsia="仿宋_GB2312" w:cs="Times New Roman"/>
          <w:b/>
          <w:bCs/>
        </w:rPr>
        <w:t>暂勿前往的国家或地区</w:t>
      </w:r>
    </w:p>
    <w:p w14:paraId="51E65DC9">
      <w:pPr>
        <w:ind w:firstLine="560" w:firstLineChars="200"/>
        <w:rPr>
          <w:rFonts w:ascii="Times New Roman" w:hAnsi="Times New Roman" w:eastAsia="仿宋_GB2312" w:cs="Times New Roman"/>
        </w:rPr>
      </w:pPr>
      <w:r>
        <w:rPr>
          <w:rFonts w:ascii="Times New Roman" w:hAnsi="Times New Roman" w:eastAsia="仿宋_GB2312" w:cs="Times New Roman"/>
        </w:rPr>
        <w:t>亚洲：阿富汗、巴勒斯坦、叙利亚、也门、缅北地区、以色列</w:t>
      </w:r>
    </w:p>
    <w:p w14:paraId="0DA8BF2A">
      <w:pPr>
        <w:ind w:left="560"/>
        <w:rPr>
          <w:rFonts w:ascii="Times New Roman" w:hAnsi="Times New Roman" w:eastAsia="仿宋_GB2312" w:cs="Times New Roman"/>
        </w:rPr>
      </w:pPr>
      <w:r>
        <w:rPr>
          <w:rFonts w:ascii="Times New Roman" w:hAnsi="Times New Roman" w:eastAsia="仿宋_GB2312" w:cs="Times New Roman"/>
        </w:rPr>
        <w:t>欧洲：乌克兰</w:t>
      </w:r>
    </w:p>
    <w:p w14:paraId="1DBA6B40">
      <w:pPr>
        <w:ind w:firstLine="560" w:firstLineChars="200"/>
        <w:rPr>
          <w:rFonts w:ascii="Times New Roman" w:hAnsi="Times New Roman" w:eastAsia="仿宋_GB2312" w:cs="Times New Roman"/>
        </w:rPr>
      </w:pPr>
      <w:r>
        <w:rPr>
          <w:rFonts w:ascii="Times New Roman" w:hAnsi="Times New Roman" w:eastAsia="仿宋_GB2312" w:cs="Times New Roman"/>
        </w:rPr>
        <w:t>非洲：喀麦隆、利比亚、马里、尼日尔、索马里、中非、刚果（金）埃塞俄比亚、苏丹</w:t>
      </w:r>
    </w:p>
    <w:p w14:paraId="13B14A8C">
      <w:pPr>
        <w:ind w:left="560"/>
        <w:rPr>
          <w:rFonts w:ascii="Times New Roman" w:hAnsi="Times New Roman" w:eastAsia="仿宋_GB2312" w:cs="Times New Roman"/>
        </w:rPr>
      </w:pPr>
      <w:r>
        <w:rPr>
          <w:rFonts w:ascii="Times New Roman" w:hAnsi="Times New Roman" w:eastAsia="仿宋_GB2312" w:cs="Times New Roman"/>
        </w:rPr>
        <w:t>南美洲：秘鲁</w:t>
      </w:r>
    </w:p>
    <w:p w14:paraId="13859D9A">
      <w:pPr>
        <w:ind w:firstLine="562" w:firstLineChars="200"/>
        <w:rPr>
          <w:rFonts w:ascii="Times New Roman" w:hAnsi="Times New Roman" w:eastAsia="仿宋_GB2312" w:cs="Times New Roman"/>
          <w:b/>
          <w:bCs/>
        </w:rPr>
      </w:pPr>
      <w:r>
        <w:rPr>
          <w:rFonts w:hint="eastAsia" w:ascii="Times New Roman" w:hAnsi="Times New Roman" w:eastAsia="仿宋_GB2312" w:cs="Times New Roman"/>
          <w:b/>
          <w:bCs/>
        </w:rPr>
        <w:t>2. 谨慎前往的国家或地区</w:t>
      </w:r>
    </w:p>
    <w:p w14:paraId="07FBCE07">
      <w:pPr>
        <w:ind w:firstLine="560" w:firstLineChars="200"/>
        <w:rPr>
          <w:rFonts w:ascii="Times New Roman" w:hAnsi="Times New Roman" w:eastAsia="仿宋_GB2312" w:cs="Times New Roman"/>
        </w:rPr>
      </w:pPr>
      <w:r>
        <w:rPr>
          <w:rFonts w:ascii="Times New Roman" w:hAnsi="Times New Roman" w:eastAsia="仿宋_GB2312" w:cs="Times New Roman"/>
        </w:rPr>
        <w:t>亚洲：巴基斯坦、缅甸、斯里兰卡、</w:t>
      </w:r>
      <w:r>
        <w:rPr>
          <w:rFonts w:hint="eastAsia" w:ascii="Times New Roman" w:hAnsi="Times New Roman" w:eastAsia="仿宋_GB2312" w:cs="Times New Roman"/>
        </w:rPr>
        <w:t>伊朗、</w:t>
      </w:r>
      <w:r>
        <w:rPr>
          <w:rFonts w:ascii="Times New Roman" w:hAnsi="Times New Roman" w:eastAsia="仿宋_GB2312" w:cs="Times New Roman"/>
        </w:rPr>
        <w:t>伊拉克、黎巴嫩</w:t>
      </w:r>
    </w:p>
    <w:p w14:paraId="621B950B">
      <w:pPr>
        <w:ind w:firstLine="560" w:firstLineChars="200"/>
        <w:rPr>
          <w:rFonts w:ascii="Times New Roman" w:hAnsi="Times New Roman" w:eastAsia="仿宋_GB2312" w:cs="Times New Roman"/>
        </w:rPr>
      </w:pPr>
      <w:r>
        <w:rPr>
          <w:rFonts w:ascii="Times New Roman" w:hAnsi="Times New Roman" w:eastAsia="仿宋_GB2312" w:cs="Times New Roman"/>
        </w:rPr>
        <w:t>非洲：布基纳法索、几内亚、莫桑比克、南苏丹、尼日利亚</w:t>
      </w:r>
    </w:p>
    <w:p w14:paraId="5731B12B">
      <w:pPr>
        <w:spacing w:line="560" w:lineRule="exact"/>
        <w:ind w:firstLine="560" w:firstLineChars="200"/>
        <w:rPr>
          <w:rFonts w:ascii="Times New Roman" w:hAnsi="Times New Roman" w:eastAsia="仿宋_GB2312" w:cs="Times New Roman"/>
        </w:rPr>
      </w:pPr>
      <w:r>
        <w:rPr>
          <w:rFonts w:ascii="Times New Roman" w:hAnsi="Times New Roman" w:eastAsia="仿宋_GB2312" w:cs="Times New Roman"/>
        </w:rPr>
        <w:t>北美洲：海地、墨西哥</w:t>
      </w:r>
      <w:r>
        <w:rPr>
          <w:rFonts w:hint="eastAsia" w:ascii="Times New Roman" w:hAnsi="Times New Roman" w:eastAsia="仿宋_GB2312" w:cs="Times New Roman"/>
        </w:rPr>
        <w:t>、巴拿马</w:t>
      </w:r>
    </w:p>
    <w:p w14:paraId="2866A739">
      <w:pPr>
        <w:spacing w:line="560" w:lineRule="exact"/>
        <w:ind w:firstLine="560" w:firstLineChars="200"/>
        <w:rPr>
          <w:rFonts w:ascii="Times New Roman" w:hAnsi="Times New Roman" w:eastAsia="仿宋_GB2312" w:cs="Times New Roman"/>
        </w:rPr>
      </w:pPr>
      <w:r>
        <w:rPr>
          <w:rFonts w:ascii="Times New Roman" w:hAnsi="Times New Roman" w:eastAsia="仿宋_GB2312" w:cs="Times New Roman"/>
        </w:rPr>
        <w:t>南美洲：厄瓜多尔、哥伦比亚</w:t>
      </w:r>
    </w:p>
    <w:p w14:paraId="0529FF11">
      <w:pPr>
        <w:spacing w:line="560" w:lineRule="exact"/>
        <w:ind w:firstLine="560" w:firstLineChars="200"/>
        <w:rPr>
          <w:rFonts w:ascii="Times New Roman" w:hAnsi="Times New Roman" w:eastAsia="仿宋_GB2312" w:cs="Times New Roman"/>
        </w:rPr>
      </w:pPr>
      <w:r>
        <w:rPr>
          <w:rFonts w:hint="eastAsia" w:ascii="Times New Roman" w:hAnsi="Times New Roman" w:eastAsia="仿宋_GB2312" w:cs="Times New Roman"/>
        </w:rPr>
        <w:t>大洋洲：帕劳</w:t>
      </w:r>
    </w:p>
    <w:p w14:paraId="372ADBFC">
      <w:pPr>
        <w:widowControl/>
        <w:spacing w:line="400" w:lineRule="exact"/>
        <w:jc w:val="left"/>
        <w:rPr>
          <w:rFonts w:ascii="Times New Roman" w:hAnsi="Times New Roman" w:eastAsia="仿宋_GB2312" w:cs="Times New Roman"/>
          <w:sz w:val="32"/>
          <w:szCs w:val="32"/>
        </w:rPr>
      </w:pPr>
    </w:p>
    <w:p w14:paraId="02461DDB">
      <w:pPr>
        <w:ind w:firstLine="560" w:firstLineChars="200"/>
        <w:rPr>
          <w:rFonts w:ascii="Times New Roman" w:hAnsi="Times New Roman" w:eastAsia="仿宋_GB2312" w:cs="Times New Roman"/>
        </w:rPr>
      </w:pPr>
    </w:p>
    <w:p w14:paraId="56F3FCBA">
      <w:pPr>
        <w:widowControl/>
        <w:spacing w:line="240" w:lineRule="auto"/>
        <w:jc w:val="left"/>
        <w:rPr>
          <w:rFonts w:ascii="Times New Roman" w:hAnsi="Times New Roman" w:eastAsia="仿宋_GB2312" w:cs="Times New Roman"/>
          <w:sz w:val="32"/>
          <w:szCs w:val="32"/>
        </w:rPr>
      </w:pPr>
      <w:r>
        <w:rPr>
          <w:rFonts w:ascii="Times New Roman" w:hAnsi="Times New Roman" w:eastAsia="仿宋_GB2312" w:cs="Times New Roman"/>
          <w:sz w:val="32"/>
          <w:szCs w:val="32"/>
        </w:rPr>
        <w:br w:type="page"/>
      </w:r>
    </w:p>
    <w:p w14:paraId="69333ED1">
      <w:pPr>
        <w:widowControl/>
        <w:spacing w:line="400" w:lineRule="exact"/>
        <w:ind w:left="1280" w:hanging="1280" w:hangingChars="400"/>
        <w:jc w:val="left"/>
        <w:rPr>
          <w:rFonts w:ascii="Times New Roman" w:hAnsi="Times New Roman" w:eastAsia="仿宋_GB2312" w:cs="Times New Roman"/>
          <w:sz w:val="32"/>
          <w:szCs w:val="32"/>
        </w:rPr>
      </w:pPr>
      <w:r>
        <w:rPr>
          <w:rFonts w:hint="eastAsia" w:ascii="黑体" w:hAnsi="黑体" w:eastAsia="黑体" w:cs="Times New Roman"/>
          <w:sz w:val="32"/>
          <w:szCs w:val="32"/>
        </w:rPr>
        <w:t>附件</w:t>
      </w:r>
      <w:r>
        <w:rPr>
          <w:rFonts w:hint="eastAsia" w:ascii="Times New Roman" w:hAnsi="Times New Roman" w:eastAsia="仿宋_GB2312" w:cs="Times New Roman"/>
          <w:sz w:val="32"/>
          <w:szCs w:val="32"/>
        </w:rPr>
        <w:t>3</w:t>
      </w:r>
    </w:p>
    <w:p w14:paraId="6DFDC133">
      <w:pPr>
        <w:widowControl/>
        <w:spacing w:line="400" w:lineRule="exact"/>
        <w:ind w:left="1280" w:hanging="1280" w:hangingChars="400"/>
        <w:jc w:val="center"/>
        <w:rPr>
          <w:rFonts w:ascii="Times New Roman" w:hAnsi="Times New Roman" w:eastAsia="仿宋_GB2312" w:cs="Times New Roman"/>
          <w:sz w:val="32"/>
          <w:szCs w:val="32"/>
        </w:rPr>
      </w:pPr>
    </w:p>
    <w:p w14:paraId="3AE9A33C">
      <w:pPr>
        <w:widowControl/>
        <w:spacing w:line="400" w:lineRule="exact"/>
        <w:ind w:left="1280" w:hanging="1280" w:hangingChars="400"/>
        <w:jc w:val="center"/>
        <w:rPr>
          <w:rFonts w:ascii="方正小标宋简体" w:hAnsi="Times New Roman" w:eastAsia="方正小标宋简体" w:cs="Times New Roman"/>
          <w:sz w:val="32"/>
          <w:szCs w:val="32"/>
        </w:rPr>
      </w:pPr>
      <w:r>
        <w:rPr>
          <w:rFonts w:hint="eastAsia" w:ascii="Times New Roman" w:hAnsi="Times New Roman" w:eastAsia="仿宋_GB2312" w:cs="Times New Roman"/>
          <w:sz w:val="32"/>
          <w:szCs w:val="32"/>
        </w:rPr>
        <w:t>2026</w:t>
      </w:r>
      <w:r>
        <w:rPr>
          <w:rFonts w:hint="eastAsia" w:ascii="方正小标宋简体" w:hAnsi="Times New Roman" w:eastAsia="方正小标宋简体" w:cs="Times New Roman"/>
          <w:sz w:val="32"/>
          <w:szCs w:val="32"/>
        </w:rPr>
        <w:t>年寒假本科生海外社会实践经费报销说明</w:t>
      </w:r>
    </w:p>
    <w:p w14:paraId="3028093E">
      <w:pPr>
        <w:ind w:firstLine="560" w:firstLineChars="200"/>
        <w:rPr>
          <w:rFonts w:ascii="Times New Roman" w:hAnsi="Times New Roman" w:eastAsia="仿宋_GB2312" w:cs="Times New Roman"/>
        </w:rPr>
      </w:pPr>
      <w:r>
        <w:rPr>
          <w:rFonts w:hint="eastAsia" w:ascii="Times New Roman" w:hAnsi="Times New Roman" w:eastAsia="仿宋_GB2312" w:cs="Times New Roman"/>
        </w:rPr>
        <w:t>为保障和支持本科生有序开展海外社会实践活动，在《清华大学学生社会实践经费管理细则》（以下简称《细则》）基础上，经校团委与校内相关部处协商，对《细则》补充说明如下：</w:t>
      </w:r>
    </w:p>
    <w:p w14:paraId="0AF75E34">
      <w:pPr>
        <w:ind w:firstLine="560" w:firstLineChars="200"/>
        <w:rPr>
          <w:rFonts w:ascii="Times New Roman" w:hAnsi="Times New Roman" w:eastAsia="仿宋_GB2312" w:cs="Times New Roman"/>
        </w:rPr>
      </w:pPr>
      <w:r>
        <w:rPr>
          <w:rFonts w:hint="eastAsia" w:ascii="Times New Roman" w:hAnsi="Times New Roman" w:eastAsia="仿宋_GB2312" w:cs="Times New Roman"/>
        </w:rPr>
        <w:t>1．海外社会实践报销范围包括城市间交通费（含国际差旅费和国外城市间交通费）、住宿费、签证费、保险费。</w:t>
      </w:r>
    </w:p>
    <w:p w14:paraId="4EE599BA">
      <w:pPr>
        <w:ind w:firstLine="560" w:firstLineChars="200"/>
        <w:rPr>
          <w:rFonts w:ascii="Times New Roman" w:hAnsi="Times New Roman" w:eastAsia="仿宋_GB2312" w:cs="Times New Roman"/>
        </w:rPr>
      </w:pPr>
      <w:r>
        <w:rPr>
          <w:rFonts w:hint="eastAsia" w:ascii="Times New Roman" w:hAnsi="Times New Roman" w:eastAsia="仿宋_GB2312" w:cs="Times New Roman"/>
        </w:rPr>
        <w:t>2．海外社会实践活动开展前，各支队应做好支队预算，与主责单位和校团委等共同协商，确认经费支持来源。</w:t>
      </w:r>
    </w:p>
    <w:p w14:paraId="59474E2F">
      <w:pPr>
        <w:ind w:firstLine="560" w:firstLineChars="200"/>
        <w:rPr>
          <w:rFonts w:ascii="Times New Roman" w:hAnsi="Times New Roman" w:eastAsia="仿宋_GB2312" w:cs="Times New Roman"/>
        </w:rPr>
      </w:pPr>
      <w:r>
        <w:rPr>
          <w:rFonts w:ascii="Times New Roman" w:hAnsi="Times New Roman" w:eastAsia="仿宋_GB2312" w:cs="Times New Roman"/>
        </w:rPr>
        <w:t>3</w:t>
      </w:r>
      <w:r>
        <w:rPr>
          <w:rFonts w:hint="eastAsia" w:ascii="Times New Roman" w:hAnsi="Times New Roman" w:eastAsia="仿宋_GB2312" w:cs="Times New Roman"/>
        </w:rPr>
        <w:t>．鼓励支队和成员进一步争取校内外其他经费支持。</w:t>
      </w:r>
      <w:r>
        <w:rPr>
          <w:rFonts w:hint="eastAsia" w:ascii="Times New Roman" w:hAnsi="Times New Roman" w:eastAsia="仿宋_GB2312" w:cs="Times New Roman"/>
          <w:b/>
          <w:bCs/>
        </w:rPr>
        <w:t>支队员所获支持经费总额原则上不超过其实际开销的2</w:t>
      </w:r>
      <w:r>
        <w:rPr>
          <w:rFonts w:ascii="Times New Roman" w:hAnsi="Times New Roman" w:eastAsia="仿宋_GB2312" w:cs="Times New Roman"/>
          <w:b/>
          <w:bCs/>
        </w:rPr>
        <w:t>/3</w:t>
      </w:r>
      <w:r>
        <w:rPr>
          <w:rFonts w:hint="eastAsia" w:ascii="Times New Roman" w:hAnsi="Times New Roman" w:eastAsia="仿宋_GB2312" w:cs="Times New Roman"/>
          <w:b/>
          <w:bCs/>
        </w:rPr>
        <w:t>，支队长所获支持经费总额原则上不超过其实际开销的80%</w:t>
      </w:r>
      <w:r>
        <w:rPr>
          <w:rFonts w:hint="eastAsia" w:ascii="Times New Roman" w:hAnsi="Times New Roman" w:eastAsia="仿宋_GB2312" w:cs="Times New Roman"/>
        </w:rPr>
        <w:t>。</w:t>
      </w:r>
    </w:p>
    <w:p w14:paraId="1F8F4435">
      <w:pPr>
        <w:ind w:firstLine="560" w:firstLineChars="200"/>
        <w:rPr>
          <w:rFonts w:ascii="Times New Roman" w:hAnsi="Times New Roman" w:eastAsia="仿宋_GB2312" w:cs="Times New Roman"/>
        </w:rPr>
      </w:pPr>
      <w:r>
        <w:rPr>
          <w:rFonts w:ascii="Times New Roman" w:hAnsi="Times New Roman" w:eastAsia="仿宋_GB2312" w:cs="Times New Roman"/>
        </w:rPr>
        <w:t>4</w:t>
      </w:r>
      <w:r>
        <w:rPr>
          <w:rFonts w:hint="eastAsia" w:ascii="Times New Roman" w:hAnsi="Times New Roman" w:eastAsia="仿宋_GB2312" w:cs="Times New Roman"/>
        </w:rPr>
        <w:t>．海外实践支队出行前，所有成员必须完成学生因公出国（境）任务申请，申请通过后，凭国际处开具的出国（境）任务批件（下文简称“批件”）前往海外。缺失批件或批件内容与实际出访不符的不予报销。</w:t>
      </w:r>
    </w:p>
    <w:p w14:paraId="563864A4">
      <w:pPr>
        <w:ind w:firstLine="560" w:firstLineChars="200"/>
        <w:rPr>
          <w:rFonts w:ascii="Times New Roman" w:hAnsi="Times New Roman" w:eastAsia="仿宋_GB2312" w:cs="Times New Roman"/>
        </w:rPr>
      </w:pPr>
      <w:r>
        <w:rPr>
          <w:rFonts w:ascii="Times New Roman" w:hAnsi="Times New Roman" w:eastAsia="仿宋_GB2312" w:cs="Times New Roman"/>
        </w:rPr>
        <w:t>5</w:t>
      </w:r>
      <w:r>
        <w:rPr>
          <w:rFonts w:hint="eastAsia" w:ascii="Times New Roman" w:hAnsi="Times New Roman" w:eastAsia="仿宋_GB2312" w:cs="Times New Roman"/>
        </w:rPr>
        <w:t>．对于海外社会实践中产生的国外城市间交通费，只有与批件中“出访路线”行程相符的行程可以凭有效票据报销。</w:t>
      </w:r>
    </w:p>
    <w:p w14:paraId="4C79DB0B">
      <w:pPr>
        <w:ind w:firstLine="560" w:firstLineChars="200"/>
        <w:rPr>
          <w:rFonts w:ascii="Times New Roman" w:hAnsi="Times New Roman" w:eastAsia="仿宋_GB2312" w:cs="Times New Roman"/>
        </w:rPr>
      </w:pPr>
      <w:r>
        <w:rPr>
          <w:rFonts w:ascii="Times New Roman" w:hAnsi="Times New Roman" w:eastAsia="仿宋_GB2312" w:cs="Times New Roman"/>
        </w:rPr>
        <w:t>6</w:t>
      </w:r>
      <w:r>
        <w:rPr>
          <w:rFonts w:hint="eastAsia" w:ascii="Times New Roman" w:hAnsi="Times New Roman" w:eastAsia="仿宋_GB2312" w:cs="Times New Roman"/>
        </w:rPr>
        <w:t>．根据《细则》，学生社会实践不报销城市内交通费。因特殊原因确需租车或包车且指导教师全程随队，支队应提供含负责指导教师签字的相关说明，由主责单位确认报销标准，凭据报销，原则上不可用包干补助代替。</w:t>
      </w:r>
    </w:p>
    <w:p w14:paraId="79D50B4F">
      <w:pPr>
        <w:ind w:firstLine="560" w:firstLineChars="200"/>
        <w:rPr>
          <w:rFonts w:ascii="Times New Roman" w:hAnsi="Times New Roman" w:eastAsia="仿宋_GB2312" w:cs="Times New Roman"/>
        </w:rPr>
      </w:pPr>
      <w:r>
        <w:rPr>
          <w:rFonts w:ascii="Times New Roman" w:hAnsi="Times New Roman" w:eastAsia="仿宋_GB2312" w:cs="Times New Roman"/>
        </w:rPr>
        <w:t>7</w:t>
      </w:r>
      <w:r>
        <w:rPr>
          <w:rFonts w:hint="eastAsia" w:ascii="Times New Roman" w:hAnsi="Times New Roman" w:eastAsia="仿宋_GB2312" w:cs="Times New Roman"/>
        </w:rPr>
        <w:t>．对于学生海外社会实践，不提供伙食费、生活费、城市内交通费包干补助。</w:t>
      </w:r>
    </w:p>
    <w:p w14:paraId="7D1FDF7D">
      <w:pPr>
        <w:ind w:firstLine="560" w:firstLineChars="200"/>
        <w:rPr>
          <w:rFonts w:ascii="Times New Roman" w:hAnsi="Times New Roman" w:eastAsia="仿宋_GB2312" w:cs="Times New Roman"/>
        </w:rPr>
      </w:pPr>
      <w:r>
        <w:rPr>
          <w:rFonts w:ascii="Times New Roman" w:hAnsi="Times New Roman" w:eastAsia="仿宋_GB2312" w:cs="Times New Roman"/>
        </w:rPr>
        <w:t>8</w:t>
      </w:r>
      <w:r>
        <w:rPr>
          <w:rFonts w:hint="eastAsia" w:ascii="Times New Roman" w:hAnsi="Times New Roman" w:eastAsia="仿宋_GB2312" w:cs="Times New Roman"/>
        </w:rPr>
        <w:t>．境外票据</w:t>
      </w:r>
      <w:r>
        <w:rPr>
          <w:rFonts w:hint="eastAsia" w:ascii="Times New Roman" w:hAnsi="Times New Roman" w:eastAsia="仿宋_GB2312" w:cs="Times New Roman"/>
          <w:highlight w:val="yellow"/>
        </w:rPr>
        <w:t>应是带有“INVOICE”或“RECEIPT”打印字样的纸质票据</w:t>
      </w:r>
      <w:r>
        <w:rPr>
          <w:rFonts w:hint="eastAsia" w:ascii="Times New Roman" w:hAnsi="Times New Roman" w:eastAsia="仿宋_GB2312" w:cs="Times New Roman"/>
        </w:rPr>
        <w:t>。对于因特殊情况只能取得打印件的</w:t>
      </w:r>
      <w:bookmarkStart w:id="1" w:name="_GoBack"/>
      <w:bookmarkEnd w:id="1"/>
      <w:r>
        <w:rPr>
          <w:rFonts w:hint="eastAsia" w:ascii="Times New Roman" w:hAnsi="Times New Roman" w:eastAsia="仿宋_GB2312" w:cs="Times New Roman"/>
        </w:rPr>
        <w:t>票据，票据经办人和负责人需在票据上签字并注明“只能取得打印件，保证不重复报销”的字样，并由财务主管签字确认。</w:t>
      </w:r>
    </w:p>
    <w:p w14:paraId="4ACDC01C">
      <w:pPr>
        <w:ind w:firstLine="560" w:firstLineChars="200"/>
        <w:rPr>
          <w:rFonts w:ascii="Times New Roman" w:hAnsi="Times New Roman" w:eastAsia="仿宋_GB2312" w:cs="Times New Roman"/>
        </w:rPr>
      </w:pPr>
      <w:r>
        <w:rPr>
          <w:rFonts w:ascii="Times New Roman" w:hAnsi="Times New Roman" w:eastAsia="仿宋_GB2312" w:cs="Times New Roman"/>
        </w:rPr>
        <w:t>9</w:t>
      </w:r>
      <w:r>
        <w:rPr>
          <w:rFonts w:hint="eastAsia" w:ascii="Times New Roman" w:hAnsi="Times New Roman" w:eastAsia="仿宋_GB2312" w:cs="Times New Roman"/>
        </w:rPr>
        <w:t>．非中文票据报销需在背面用中文注明开支内容、日期、行程、数量等具体信息。</w:t>
      </w:r>
    </w:p>
    <w:tbl>
      <w:tblPr>
        <w:tblStyle w:val="9"/>
        <w:tblpPr w:leftFromText="181" w:rightFromText="181" w:vertAnchor="page" w:horzAnchor="margin" w:tblpXSpec="center" w:tblpY="731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2835"/>
      </w:tblGrid>
      <w:tr w14:paraId="0972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2C09E59A">
            <w:pPr>
              <w:jc w:val="center"/>
              <w:rPr>
                <w:rFonts w:ascii="Times New Roman" w:hAnsi="Times New Roman" w:eastAsia="仿宋_GB2312" w:cs="Times New Roman"/>
              </w:rPr>
            </w:pPr>
            <w:r>
              <w:rPr>
                <w:rFonts w:hint="eastAsia" w:ascii="Times New Roman" w:hAnsi="Times New Roman" w:eastAsia="仿宋_GB2312" w:cs="Times New Roman"/>
              </w:rPr>
              <w:t>团委主管支队总分排名</w:t>
            </w:r>
          </w:p>
        </w:tc>
        <w:tc>
          <w:tcPr>
            <w:tcW w:w="2835" w:type="dxa"/>
            <w:noWrap/>
            <w:vAlign w:val="center"/>
          </w:tcPr>
          <w:p w14:paraId="12BA2036">
            <w:pPr>
              <w:jc w:val="center"/>
              <w:rPr>
                <w:rFonts w:ascii="Times New Roman" w:hAnsi="Times New Roman" w:eastAsia="仿宋_GB2312" w:cs="Times New Roman"/>
              </w:rPr>
            </w:pPr>
            <w:r>
              <w:rPr>
                <w:rFonts w:hint="eastAsia" w:ascii="Times New Roman" w:hAnsi="Times New Roman" w:eastAsia="仿宋_GB2312" w:cs="Times New Roman"/>
              </w:rPr>
              <w:t>经费支持比例</w:t>
            </w:r>
          </w:p>
        </w:tc>
      </w:tr>
      <w:tr w14:paraId="603A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06E1F99E">
            <w:pPr>
              <w:jc w:val="center"/>
              <w:rPr>
                <w:rFonts w:ascii="Times New Roman" w:hAnsi="Times New Roman" w:eastAsia="仿宋_GB2312" w:cs="Times New Roman"/>
              </w:rPr>
            </w:pPr>
            <w:r>
              <w:rPr>
                <w:rFonts w:hint="eastAsia" w:ascii="Times New Roman" w:hAnsi="Times New Roman" w:eastAsia="仿宋_GB2312" w:cs="Times New Roman"/>
              </w:rPr>
              <w:t>前5%</w:t>
            </w:r>
          </w:p>
        </w:tc>
        <w:tc>
          <w:tcPr>
            <w:tcW w:w="2835" w:type="dxa"/>
            <w:noWrap/>
            <w:vAlign w:val="center"/>
          </w:tcPr>
          <w:p w14:paraId="2631D161">
            <w:pPr>
              <w:jc w:val="center"/>
              <w:rPr>
                <w:rFonts w:ascii="Times New Roman" w:hAnsi="Times New Roman" w:eastAsia="仿宋_GB2312" w:cs="Times New Roman"/>
              </w:rPr>
            </w:pPr>
            <w:r>
              <w:rPr>
                <w:rFonts w:hint="eastAsia" w:ascii="Times New Roman" w:hAnsi="Times New Roman" w:eastAsia="仿宋_GB2312" w:cs="Times New Roman"/>
              </w:rPr>
              <w:t>100%</w:t>
            </w:r>
          </w:p>
        </w:tc>
      </w:tr>
      <w:tr w14:paraId="7A5E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377B084F">
            <w:pPr>
              <w:jc w:val="center"/>
              <w:rPr>
                <w:rFonts w:ascii="Times New Roman" w:hAnsi="Times New Roman" w:eastAsia="仿宋_GB2312" w:cs="Times New Roman"/>
              </w:rPr>
            </w:pPr>
            <w:r>
              <w:rPr>
                <w:rFonts w:hint="eastAsia" w:ascii="Times New Roman" w:hAnsi="Times New Roman" w:eastAsia="仿宋_GB2312" w:cs="Times New Roman"/>
              </w:rPr>
              <w:t>前5%-10%</w:t>
            </w:r>
          </w:p>
        </w:tc>
        <w:tc>
          <w:tcPr>
            <w:tcW w:w="2835" w:type="dxa"/>
            <w:noWrap/>
            <w:vAlign w:val="center"/>
          </w:tcPr>
          <w:p w14:paraId="05FA9CD0">
            <w:pPr>
              <w:jc w:val="center"/>
              <w:rPr>
                <w:rFonts w:ascii="Times New Roman" w:hAnsi="Times New Roman" w:eastAsia="仿宋_GB2312" w:cs="Times New Roman"/>
              </w:rPr>
            </w:pPr>
            <w:r>
              <w:rPr>
                <w:rFonts w:hint="eastAsia" w:ascii="Times New Roman" w:hAnsi="Times New Roman" w:eastAsia="仿宋_GB2312" w:cs="Times New Roman"/>
              </w:rPr>
              <w:t>90%</w:t>
            </w:r>
          </w:p>
        </w:tc>
      </w:tr>
      <w:tr w14:paraId="1560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18D7C6FF">
            <w:pPr>
              <w:jc w:val="center"/>
              <w:rPr>
                <w:rFonts w:ascii="Times New Roman" w:hAnsi="Times New Roman" w:eastAsia="仿宋_GB2312" w:cs="Times New Roman"/>
              </w:rPr>
            </w:pPr>
            <w:r>
              <w:rPr>
                <w:rFonts w:hint="eastAsia" w:ascii="Times New Roman" w:hAnsi="Times New Roman" w:eastAsia="仿宋_GB2312" w:cs="Times New Roman"/>
              </w:rPr>
              <w:t>前10%-20%</w:t>
            </w:r>
          </w:p>
        </w:tc>
        <w:tc>
          <w:tcPr>
            <w:tcW w:w="2835" w:type="dxa"/>
            <w:noWrap/>
            <w:vAlign w:val="center"/>
          </w:tcPr>
          <w:p w14:paraId="28F9E201">
            <w:pPr>
              <w:jc w:val="center"/>
              <w:rPr>
                <w:rFonts w:ascii="Times New Roman" w:hAnsi="Times New Roman" w:eastAsia="仿宋_GB2312" w:cs="Times New Roman"/>
              </w:rPr>
            </w:pPr>
            <w:r>
              <w:rPr>
                <w:rFonts w:hint="eastAsia" w:ascii="Times New Roman" w:hAnsi="Times New Roman" w:eastAsia="仿宋_GB2312" w:cs="Times New Roman"/>
              </w:rPr>
              <w:t>80%</w:t>
            </w:r>
          </w:p>
        </w:tc>
      </w:tr>
      <w:tr w14:paraId="4F50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217E3E37">
            <w:pPr>
              <w:jc w:val="center"/>
              <w:rPr>
                <w:rFonts w:ascii="Times New Roman" w:hAnsi="Times New Roman" w:eastAsia="仿宋_GB2312" w:cs="Times New Roman"/>
              </w:rPr>
            </w:pPr>
            <w:r>
              <w:rPr>
                <w:rFonts w:hint="eastAsia" w:ascii="Times New Roman" w:hAnsi="Times New Roman" w:eastAsia="仿宋_GB2312" w:cs="Times New Roman"/>
              </w:rPr>
              <w:t>前20%-30%</w:t>
            </w:r>
          </w:p>
        </w:tc>
        <w:tc>
          <w:tcPr>
            <w:tcW w:w="2835" w:type="dxa"/>
            <w:noWrap/>
            <w:vAlign w:val="center"/>
          </w:tcPr>
          <w:p w14:paraId="032576F0">
            <w:pPr>
              <w:jc w:val="center"/>
              <w:rPr>
                <w:rFonts w:ascii="Times New Roman" w:hAnsi="Times New Roman" w:eastAsia="仿宋_GB2312" w:cs="Times New Roman"/>
              </w:rPr>
            </w:pPr>
            <w:r>
              <w:rPr>
                <w:rFonts w:hint="eastAsia" w:ascii="Times New Roman" w:hAnsi="Times New Roman" w:eastAsia="仿宋_GB2312" w:cs="Times New Roman"/>
              </w:rPr>
              <w:t>75%</w:t>
            </w:r>
          </w:p>
        </w:tc>
      </w:tr>
      <w:tr w14:paraId="3B27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5CCED381">
            <w:pPr>
              <w:jc w:val="center"/>
              <w:rPr>
                <w:rFonts w:ascii="Times New Roman" w:hAnsi="Times New Roman" w:eastAsia="仿宋_GB2312" w:cs="Times New Roman"/>
              </w:rPr>
            </w:pPr>
            <w:r>
              <w:rPr>
                <w:rFonts w:hint="eastAsia" w:ascii="Times New Roman" w:hAnsi="Times New Roman" w:eastAsia="仿宋_GB2312" w:cs="Times New Roman"/>
              </w:rPr>
              <w:t>前30%-40%</w:t>
            </w:r>
          </w:p>
        </w:tc>
        <w:tc>
          <w:tcPr>
            <w:tcW w:w="2835" w:type="dxa"/>
            <w:noWrap/>
            <w:vAlign w:val="center"/>
          </w:tcPr>
          <w:p w14:paraId="0594DE79">
            <w:pPr>
              <w:jc w:val="center"/>
              <w:rPr>
                <w:rFonts w:ascii="Times New Roman" w:hAnsi="Times New Roman" w:eastAsia="仿宋_GB2312" w:cs="Times New Roman"/>
              </w:rPr>
            </w:pPr>
            <w:r>
              <w:rPr>
                <w:rFonts w:hint="eastAsia" w:ascii="Times New Roman" w:hAnsi="Times New Roman" w:eastAsia="仿宋_GB2312" w:cs="Times New Roman"/>
              </w:rPr>
              <w:t>70%</w:t>
            </w:r>
          </w:p>
        </w:tc>
      </w:tr>
      <w:tr w14:paraId="08D4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74F0A068">
            <w:pPr>
              <w:jc w:val="center"/>
              <w:rPr>
                <w:rFonts w:ascii="Times New Roman" w:hAnsi="Times New Roman" w:eastAsia="仿宋_GB2312" w:cs="Times New Roman"/>
              </w:rPr>
            </w:pPr>
            <w:r>
              <w:rPr>
                <w:rFonts w:hint="eastAsia" w:ascii="Times New Roman" w:hAnsi="Times New Roman" w:eastAsia="仿宋_GB2312" w:cs="Times New Roman"/>
              </w:rPr>
              <w:t>前40%-60%</w:t>
            </w:r>
          </w:p>
        </w:tc>
        <w:tc>
          <w:tcPr>
            <w:tcW w:w="2835" w:type="dxa"/>
            <w:noWrap/>
            <w:vAlign w:val="center"/>
          </w:tcPr>
          <w:p w14:paraId="4E46AFD7">
            <w:pPr>
              <w:jc w:val="center"/>
              <w:rPr>
                <w:rFonts w:ascii="Times New Roman" w:hAnsi="Times New Roman" w:eastAsia="仿宋_GB2312" w:cs="Times New Roman"/>
              </w:rPr>
            </w:pPr>
            <w:r>
              <w:rPr>
                <w:rFonts w:hint="eastAsia" w:ascii="Times New Roman" w:hAnsi="Times New Roman" w:eastAsia="仿宋_GB2312" w:cs="Times New Roman"/>
              </w:rPr>
              <w:t>60%</w:t>
            </w:r>
          </w:p>
        </w:tc>
      </w:tr>
      <w:tr w14:paraId="3C8E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4536" w:type="dxa"/>
            <w:noWrap/>
            <w:vAlign w:val="center"/>
          </w:tcPr>
          <w:p w14:paraId="602D7091">
            <w:pPr>
              <w:jc w:val="center"/>
              <w:rPr>
                <w:rFonts w:ascii="Times New Roman" w:hAnsi="Times New Roman" w:eastAsia="仿宋_GB2312" w:cs="Times New Roman"/>
              </w:rPr>
            </w:pPr>
            <w:r>
              <w:rPr>
                <w:rFonts w:hint="eastAsia" w:ascii="Times New Roman" w:hAnsi="Times New Roman" w:eastAsia="仿宋_GB2312" w:cs="Times New Roman"/>
              </w:rPr>
              <w:t>前60%-100%</w:t>
            </w:r>
          </w:p>
        </w:tc>
        <w:tc>
          <w:tcPr>
            <w:tcW w:w="2835" w:type="dxa"/>
            <w:noWrap/>
            <w:vAlign w:val="center"/>
          </w:tcPr>
          <w:p w14:paraId="4A4462C9">
            <w:pPr>
              <w:jc w:val="center"/>
              <w:rPr>
                <w:rFonts w:ascii="Times New Roman" w:hAnsi="Times New Roman" w:eastAsia="仿宋_GB2312" w:cs="Times New Roman"/>
              </w:rPr>
            </w:pPr>
            <w:r>
              <w:rPr>
                <w:rFonts w:hint="eastAsia" w:ascii="Times New Roman" w:hAnsi="Times New Roman" w:eastAsia="仿宋_GB2312" w:cs="Times New Roman"/>
              </w:rPr>
              <w:t>50%</w:t>
            </w:r>
          </w:p>
        </w:tc>
      </w:tr>
    </w:tbl>
    <w:p w14:paraId="4B6A3A77">
      <w:pPr>
        <w:ind w:firstLine="560" w:firstLineChars="200"/>
        <w:jc w:val="left"/>
        <w:rPr>
          <w:rFonts w:ascii="Times New Roman" w:hAnsi="Times New Roman" w:eastAsia="仿宋_GB2312" w:cs="Times New Roman"/>
        </w:rPr>
      </w:pPr>
      <w:r>
        <w:rPr>
          <w:rFonts w:hint="eastAsia" w:ascii="Times New Roman" w:hAnsi="Times New Roman" w:eastAsia="仿宋_GB2312" w:cs="Times New Roman"/>
        </w:rPr>
        <w:t>10. 校团委根据支队行前评审和总结评审的总分数确定各支队的“经费支持比例”。团委将采取标准化的方式尽量消除不同场次评委的打分偏差、保证评审的公平性。其中，支队行前评审的分数将按照30%的比例计入总分数，调研报告的分数将按照20%的比例计入总分数，现场展示评审的分数将按照50%的比例计入总分数。各团委主管支队依总分数由高到低进行排名，按照下表的计算方式测算经费支持比例：</w:t>
      </w:r>
    </w:p>
    <w:p w14:paraId="524FDC32">
      <w:pPr>
        <w:ind w:firstLine="560" w:firstLineChars="200"/>
        <w:rPr>
          <w:rFonts w:ascii="Times New Roman" w:hAnsi="Times New Roman" w:eastAsia="仿宋_GB2312" w:cs="Times New Roman"/>
        </w:rPr>
      </w:pPr>
      <w:r>
        <w:rPr>
          <w:rFonts w:hint="eastAsia" w:ascii="Times New Roman" w:hAnsi="Times New Roman" w:eastAsia="仿宋_GB2312" w:cs="Times New Roman"/>
        </w:rPr>
        <w:t>11</w:t>
      </w:r>
      <w:r>
        <w:rPr>
          <w:rFonts w:hint="eastAsia" w:ascii="Times New Roman" w:hAnsi="Times New Roman" w:eastAsia="仿宋_GB2312" w:cs="仿宋"/>
        </w:rPr>
        <w:t xml:space="preserve">. </w:t>
      </w:r>
      <w:r>
        <w:rPr>
          <w:rFonts w:hint="eastAsia" w:ascii="Times New Roman" w:hAnsi="Times New Roman" w:eastAsia="仿宋_GB2312" w:cs="Times New Roman"/>
        </w:rPr>
        <w:t>海外实践支队中每名支队员支持额度的计算公式为：</w:t>
      </w:r>
      <m:oMath>
        <m:r>
          <m:rPr/>
          <w:rPr>
            <w:rFonts w:ascii="Cambria Math" w:hAnsi="Cambria Math" w:eastAsia="仿宋_GB2312" w:cs="Times New Roman"/>
          </w:rPr>
          <m:t xml:space="preserve"> </m:t>
        </m:r>
      </m:oMath>
    </w:p>
    <w:p w14:paraId="5CBF44D3">
      <w:pPr>
        <w:ind w:firstLine="560" w:firstLineChars="200"/>
        <w:rPr>
          <w:rFonts w:ascii="Times New Roman" w:hAnsi="Times New Roman" w:eastAsia="仿宋_GB2312" w:cs="Times New Roman"/>
          <w:szCs w:val="28"/>
        </w:rPr>
      </w:pPr>
      <m:oMathPara>
        <m:oMath>
          <m:r>
            <m:rPr/>
            <w:rPr>
              <w:rFonts w:ascii="Cambria Math" w:hAnsi="Cambria Math" w:eastAsia="仿宋_GB2312" w:cs="Times New Roman"/>
            </w:rPr>
            <m:t xml:space="preserve">       </m:t>
          </m:r>
          <m:r>
            <m:rPr>
              <m:sty m:val="p"/>
            </m:rPr>
            <w:rPr>
              <w:rFonts w:hint="eastAsia" w:ascii="Cambria Math" w:hAnsi="Cambria Math" w:eastAsia="仿宋_GB2312" w:cs="Times New Roman"/>
            </w:rPr>
            <m:t>个人</m:t>
          </m:r>
          <m:r>
            <m:rPr>
              <m:sty m:val="p"/>
            </m:rPr>
            <w:rPr>
              <w:rFonts w:hint="eastAsia" w:ascii="Cambria Math" w:hAnsi="Cambria Math" w:eastAsia="仿宋_GB2312" w:cs="Times New Roman"/>
              <w:szCs w:val="28"/>
            </w:rPr>
            <m:t>支持额度=支持额度上限</m:t>
          </m:r>
          <m:r>
            <m:rPr>
              <m:sty m:val="p"/>
            </m:rPr>
            <w:rPr>
              <w:rFonts w:ascii="Cambria Math" w:hAnsi="Cambria Math" w:eastAsia="仿宋_GB2312" w:cs="Times New Roman"/>
              <w:szCs w:val="28"/>
            </w:rPr>
            <m:t>×</m:t>
          </m:r>
        </m:oMath>
      </m:oMathPara>
    </w:p>
    <w:p w14:paraId="30C04A9D">
      <w:pPr>
        <w:ind w:firstLine="560" w:firstLineChars="200"/>
        <w:rPr>
          <w:rFonts w:ascii="Times New Roman" w:hAnsi="Times New Roman" w:eastAsia="仿宋_GB2312" w:cs="Times New Roman"/>
          <w:szCs w:val="28"/>
        </w:rPr>
      </w:pPr>
      <m:oMathPara>
        <m:oMath>
          <m:r>
            <m:rPr>
              <m:sty m:val="p"/>
            </m:rPr>
            <w:rPr>
              <w:rFonts w:hint="eastAsia" w:ascii="Cambria Math" w:hAnsi="Cambria Math" w:eastAsia="仿宋_GB2312" w:cs="Times New Roman"/>
              <w:szCs w:val="28"/>
            </w:rPr>
            <m:t>经费支持比例</m:t>
          </m:r>
          <m:r>
            <m:rPr>
              <m:sty m:val="p"/>
            </m:rPr>
            <w:rPr>
              <w:rFonts w:ascii="Cambria Math" w:hAnsi="Cambria Math" w:eastAsia="仿宋_GB2312" w:cs="Times New Roman"/>
              <w:szCs w:val="28"/>
            </w:rPr>
            <m:t>×</m:t>
          </m:r>
          <m:sSup>
            <m:sSupPr>
              <m:ctrlPr>
                <w:rPr>
                  <w:rFonts w:hint="eastAsia" w:ascii="Cambria Math" w:hAnsi="Cambria Math" w:eastAsia="仿宋_GB2312" w:cs="Times New Roman"/>
                  <w:szCs w:val="28"/>
                </w:rPr>
              </m:ctrlPr>
            </m:sSupPr>
            <m:e>
              <m:r>
                <m:rPr>
                  <m:sty m:val="p"/>
                </m:rPr>
                <w:rPr>
                  <w:rFonts w:ascii="Cambria Math" w:hAnsi="Cambria Math" w:eastAsia="仿宋_GB2312" w:cs="Times New Roman"/>
                  <w:szCs w:val="28"/>
                </w:rPr>
                <m:t>(1/2)</m:t>
              </m:r>
              <m:ctrlPr>
                <w:rPr>
                  <w:rFonts w:hint="eastAsia" w:ascii="Cambria Math" w:hAnsi="Cambria Math" w:eastAsia="仿宋_GB2312" w:cs="Times New Roman"/>
                  <w:szCs w:val="28"/>
                </w:rPr>
              </m:ctrlPr>
            </m:e>
            <m:sup>
              <m:r>
                <m:rPr>
                  <m:sty m:val="p"/>
                </m:rPr>
                <w:rPr>
                  <w:rFonts w:hint="eastAsia" w:ascii="Cambria Math" w:hAnsi="Cambria Math" w:eastAsia="仿宋_GB2312" w:cs="Times New Roman"/>
                  <w:szCs w:val="28"/>
                </w:rPr>
                <m:t>个人已参与支持计划次数</m:t>
              </m:r>
              <m:ctrlPr>
                <w:rPr>
                  <w:rFonts w:hint="eastAsia" w:ascii="Cambria Math" w:hAnsi="Cambria Math" w:eastAsia="仿宋_GB2312" w:cs="Times New Roman"/>
                  <w:szCs w:val="28"/>
                </w:rPr>
              </m:ctrlPr>
            </m:sup>
          </m:sSup>
        </m:oMath>
      </m:oMathPara>
    </w:p>
    <w:p w14:paraId="5BFB3B74">
      <w:pPr>
        <w:ind w:firstLine="560" w:firstLineChars="200"/>
        <w:rPr>
          <w:rFonts w:ascii="Times New Roman" w:hAnsi="Times New Roman" w:eastAsia="仿宋_GB2312" w:cs="Times New Roman"/>
        </w:rPr>
      </w:pPr>
      <w:r>
        <w:rPr>
          <w:rFonts w:hint="eastAsia" w:ascii="Times New Roman" w:hAnsi="Times New Roman" w:eastAsia="仿宋_GB2312" w:cs="Times New Roman"/>
        </w:rPr>
        <w:t>12</w:t>
      </w:r>
      <w:r>
        <w:rPr>
          <w:rFonts w:hint="eastAsia" w:ascii="Times New Roman" w:hAnsi="Times New Roman" w:eastAsia="仿宋_GB2312" w:cs="仿宋"/>
        </w:rPr>
        <w:t xml:space="preserve">. </w:t>
      </w:r>
      <w:r>
        <w:rPr>
          <w:rFonts w:hint="eastAsia" w:ascii="Times New Roman" w:hAnsi="Times New Roman" w:eastAsia="仿宋_GB2312" w:cs="Times New Roman"/>
        </w:rPr>
        <w:t>海外实践支队中每名支队长支持额度的计算公式为：</w:t>
      </w:r>
      <m:oMath>
        <m:r>
          <m:rPr/>
          <w:rPr>
            <w:rFonts w:ascii="Cambria Math" w:hAnsi="Cambria Math" w:eastAsia="仿宋_GB2312" w:cs="Times New Roman"/>
          </w:rPr>
          <m:t xml:space="preserve"> </m:t>
        </m:r>
      </m:oMath>
    </w:p>
    <w:p w14:paraId="5024C9D9">
      <w:pPr>
        <w:ind w:firstLine="560" w:firstLineChars="200"/>
        <w:rPr>
          <w:rFonts w:ascii="Times New Roman" w:hAnsi="Times New Roman" w:eastAsia="仿宋_GB2312" w:cs="Times New Roman"/>
          <w:szCs w:val="28"/>
        </w:rPr>
      </w:pPr>
      <m:oMathPara>
        <m:oMath>
          <m:r>
            <m:rPr/>
            <w:rPr>
              <w:rFonts w:ascii="Cambria Math" w:hAnsi="Cambria Math" w:eastAsia="仿宋_GB2312" w:cs="Times New Roman"/>
            </w:rPr>
            <m:t xml:space="preserve">       </m:t>
          </m:r>
          <m:r>
            <m:rPr>
              <m:sty m:val="p"/>
            </m:rPr>
            <w:rPr>
              <w:rFonts w:hint="eastAsia" w:ascii="Cambria Math" w:hAnsi="Cambria Math" w:eastAsia="仿宋_GB2312" w:cs="Times New Roman"/>
            </w:rPr>
            <m:t>支队长个人</m:t>
          </m:r>
          <m:r>
            <m:rPr>
              <m:sty m:val="p"/>
            </m:rPr>
            <w:rPr>
              <w:rFonts w:hint="eastAsia" w:ascii="Cambria Math" w:hAnsi="Cambria Math" w:eastAsia="仿宋_GB2312" w:cs="Times New Roman"/>
              <w:szCs w:val="28"/>
            </w:rPr>
            <m:t>支持额度=支持额度上限</m:t>
          </m:r>
          <m:r>
            <m:rPr>
              <m:sty m:val="p"/>
            </m:rPr>
            <w:rPr>
              <w:rFonts w:ascii="Cambria Math" w:hAnsi="Cambria Math" w:eastAsia="仿宋_GB2312" w:cs="Times New Roman"/>
              <w:szCs w:val="28"/>
            </w:rPr>
            <m:t>×</m:t>
          </m:r>
        </m:oMath>
      </m:oMathPara>
    </w:p>
    <w:p w14:paraId="2E607B93">
      <w:pPr>
        <w:ind w:firstLine="560" w:firstLineChars="200"/>
        <w:rPr>
          <w:rFonts w:ascii="Times New Roman" w:hAnsi="Times New Roman" w:eastAsia="仿宋_GB2312" w:cs="Times New Roman"/>
          <w:szCs w:val="28"/>
        </w:rPr>
      </w:pPr>
      <m:oMathPara>
        <m:oMath>
          <m:r>
            <m:rPr>
              <m:sty m:val="p"/>
            </m:rPr>
            <w:rPr>
              <w:rFonts w:hint="eastAsia" w:ascii="Cambria Math" w:hAnsi="Cambria Math" w:eastAsia="仿宋_GB2312" w:cs="Times New Roman"/>
              <w:szCs w:val="28"/>
            </w:rPr>
            <m:t>经费支持比例</m:t>
          </m:r>
        </m:oMath>
      </m:oMathPara>
    </w:p>
    <w:p w14:paraId="7C444418">
      <w:pPr>
        <w:widowControl/>
        <w:spacing w:line="400" w:lineRule="exact"/>
        <w:ind w:left="1280" w:hanging="1280" w:hangingChars="400"/>
        <w:jc w:val="left"/>
        <w:rPr>
          <w:rFonts w:hint="eastAsia" w:ascii="黑体" w:hAnsi="黑体" w:eastAsia="黑体" w:cs="Times New Roman"/>
          <w:sz w:val="32"/>
          <w:szCs w:val="32"/>
        </w:rPr>
      </w:pPr>
    </w:p>
    <w:p w14:paraId="730C40D4">
      <w:pPr>
        <w:widowControl/>
        <w:spacing w:line="400" w:lineRule="exact"/>
        <w:ind w:left="1280" w:hanging="1280" w:hangingChars="400"/>
        <w:jc w:val="left"/>
        <w:rPr>
          <w:rFonts w:ascii="Times New Roman" w:hAnsi="Times New Roman" w:eastAsia="仿宋_GB2312" w:cs="Times New Roman"/>
          <w:sz w:val="32"/>
          <w:szCs w:val="32"/>
        </w:rPr>
      </w:pPr>
      <w:r>
        <w:rPr>
          <w:rFonts w:hint="eastAsia" w:ascii="黑体" w:hAnsi="黑体" w:eastAsia="黑体" w:cs="Times New Roman"/>
          <w:sz w:val="32"/>
          <w:szCs w:val="32"/>
        </w:rPr>
        <w:t>附件</w:t>
      </w:r>
      <w:r>
        <w:rPr>
          <w:rFonts w:hint="eastAsia" w:ascii="Times New Roman" w:hAnsi="Times New Roman" w:eastAsia="仿宋_GB2312" w:cs="Times New Roman"/>
          <w:sz w:val="32"/>
          <w:szCs w:val="32"/>
        </w:rPr>
        <w:t>4</w:t>
      </w:r>
    </w:p>
    <w:p w14:paraId="381FEA65">
      <w:pPr>
        <w:widowControl/>
        <w:spacing w:line="400" w:lineRule="exact"/>
        <w:ind w:left="1280" w:hanging="1280" w:hangingChars="400"/>
        <w:jc w:val="left"/>
        <w:rPr>
          <w:rFonts w:ascii="Times New Roman" w:hAnsi="Times New Roman" w:eastAsia="仿宋_GB2312" w:cs="Times New Roman"/>
          <w:sz w:val="32"/>
          <w:szCs w:val="32"/>
        </w:rPr>
      </w:pPr>
    </w:p>
    <w:p w14:paraId="3B6FF564">
      <w:pPr>
        <w:widowControl/>
        <w:spacing w:line="400" w:lineRule="exact"/>
        <w:ind w:left="1280" w:hanging="1280" w:hangingChars="400"/>
        <w:jc w:val="center"/>
        <w:rPr>
          <w:rFonts w:ascii="方正小标宋简体" w:hAnsi="Times New Roman" w:eastAsia="方正小标宋简体" w:cs="Times New Roman"/>
          <w:sz w:val="32"/>
          <w:szCs w:val="32"/>
        </w:rPr>
      </w:pPr>
      <w:r>
        <w:rPr>
          <w:rFonts w:ascii="Times New Roman" w:hAnsi="Times New Roman" w:eastAsia="仿宋_GB2312" w:cs="Times New Roman"/>
          <w:sz w:val="32"/>
          <w:szCs w:val="32"/>
        </w:rPr>
        <w:t>202</w:t>
      </w:r>
      <w:r>
        <w:rPr>
          <w:rFonts w:hint="eastAsia" w:ascii="Times New Roman" w:hAnsi="Times New Roman" w:eastAsia="仿宋_GB2312" w:cs="Times New Roman"/>
          <w:sz w:val="32"/>
          <w:szCs w:val="32"/>
        </w:rPr>
        <w:t>6</w:t>
      </w:r>
      <w:r>
        <w:rPr>
          <w:rFonts w:hint="eastAsia" w:ascii="方正小标宋简体" w:hAnsi="Times New Roman" w:eastAsia="方正小标宋简体" w:cs="Times New Roman"/>
          <w:sz w:val="32"/>
          <w:szCs w:val="32"/>
        </w:rPr>
        <w:t>年寒假本科生海外社会实践行前培训方案</w:t>
      </w:r>
    </w:p>
    <w:p w14:paraId="5125C8DB">
      <w:pPr>
        <w:pStyle w:val="6"/>
        <w:widowControl/>
        <w:spacing w:before="60" w:after="60"/>
        <w:ind w:firstLine="560" w:firstLineChars="200"/>
        <w:rPr>
          <w:rFonts w:ascii="Times New Roman" w:hAnsi="Times New Roman" w:eastAsia="仿宋_GB2312" w:cs="Times New Roman"/>
          <w:sz w:val="28"/>
        </w:rPr>
      </w:pPr>
      <w:r>
        <w:rPr>
          <w:rFonts w:hint="eastAsia" w:ascii="Times New Roman" w:hAnsi="Times New Roman" w:eastAsia="仿宋_GB2312" w:cs="Times New Roman"/>
          <w:sz w:val="28"/>
          <w:szCs w:val="28"/>
        </w:rPr>
        <w:t>为保障学生海外社会实践安全、顺利开展，进一步完善全球胜任力高质量培养体系，校团</w:t>
      </w:r>
      <w:r>
        <w:rPr>
          <w:rFonts w:hint="eastAsia" w:ascii="Times New Roman" w:hAnsi="Times New Roman" w:eastAsia="仿宋_GB2312" w:cs="Times New Roman"/>
          <w:sz w:val="28"/>
        </w:rPr>
        <w:t>委学习实践部将组织开展2026年寒假学生海外社会实践行前培训，帮助学生加深对实践地国情民情的认知了解和对实践主题的理解掌握，提升学生开展海外实践必要的能力素养，促进学生海外社会实践高质量发展。</w:t>
      </w:r>
    </w:p>
    <w:p w14:paraId="319756FF">
      <w:pPr>
        <w:pStyle w:val="6"/>
        <w:widowControl/>
        <w:spacing w:before="60" w:after="60"/>
        <w:ind w:firstLine="560" w:firstLineChars="200"/>
        <w:rPr>
          <w:rFonts w:ascii="Times New Roman" w:hAnsi="Times New Roman" w:eastAsia="仿宋_GB2312" w:cs="Times New Roman"/>
          <w:sz w:val="28"/>
        </w:rPr>
      </w:pPr>
      <w:r>
        <w:rPr>
          <w:rFonts w:hint="eastAsia" w:ascii="Times New Roman" w:hAnsi="Times New Roman" w:eastAsia="仿宋_GB2312" w:cs="Times New Roman"/>
          <w:sz w:val="28"/>
        </w:rPr>
        <w:t>培训内容主要包括以下五个板块，其中前四个板块由学校组织，第五个板块由支队自行组织：</w:t>
      </w:r>
    </w:p>
    <w:p w14:paraId="15F13B86">
      <w:pPr>
        <w:pStyle w:val="6"/>
        <w:widowControl/>
        <w:spacing w:before="60" w:after="60"/>
        <w:ind w:firstLine="562" w:firstLineChars="200"/>
        <w:rPr>
          <w:rFonts w:ascii="Times New Roman" w:hAnsi="Times New Roman" w:eastAsia="仿宋_GB2312" w:cs="Times New Roman"/>
          <w:b/>
          <w:bCs/>
          <w:sz w:val="28"/>
        </w:rPr>
      </w:pPr>
      <w:r>
        <w:rPr>
          <w:rFonts w:hint="eastAsia" w:ascii="Times New Roman" w:hAnsi="Times New Roman" w:eastAsia="仿宋_GB2312" w:cs="Times New Roman"/>
          <w:b/>
          <w:bCs/>
          <w:sz w:val="28"/>
        </w:rPr>
        <w:t>意识形态安全板块。</w:t>
      </w:r>
      <w:r>
        <w:rPr>
          <w:rFonts w:ascii="Times New Roman" w:hAnsi="Times New Roman" w:eastAsia="仿宋_GB2312" w:cs="Times New Roman"/>
          <w:sz w:val="28"/>
        </w:rPr>
        <w:t>深入领会习近平新时代中国特色社会主义思想</w:t>
      </w:r>
      <w:r>
        <w:rPr>
          <w:rFonts w:hint="eastAsia" w:ascii="Times New Roman" w:hAnsi="Times New Roman" w:eastAsia="仿宋_GB2312" w:cs="Times New Roman"/>
          <w:sz w:val="28"/>
        </w:rPr>
        <w:t>，</w:t>
      </w:r>
      <w:r>
        <w:rPr>
          <w:rFonts w:ascii="Times New Roman" w:hAnsi="Times New Roman" w:eastAsia="仿宋_GB2312" w:cs="Times New Roman"/>
          <w:sz w:val="28"/>
        </w:rPr>
        <w:t>强化政治纪律</w:t>
      </w:r>
      <w:r>
        <w:rPr>
          <w:rFonts w:hint="eastAsia" w:ascii="Times New Roman" w:hAnsi="Times New Roman" w:eastAsia="仿宋_GB2312" w:cs="Times New Roman"/>
          <w:sz w:val="28"/>
        </w:rPr>
        <w:t>教育，</w:t>
      </w:r>
      <w:r>
        <w:rPr>
          <w:rFonts w:ascii="Times New Roman" w:hAnsi="Times New Roman" w:eastAsia="仿宋_GB2312" w:cs="Times New Roman"/>
          <w:sz w:val="28"/>
        </w:rPr>
        <w:t>加强文化安全教育</w:t>
      </w:r>
      <w:r>
        <w:rPr>
          <w:rFonts w:hint="eastAsia" w:ascii="Times New Roman" w:hAnsi="Times New Roman" w:eastAsia="仿宋_GB2312" w:cs="Times New Roman"/>
          <w:sz w:val="28"/>
        </w:rPr>
        <w:t>，进行国家安全教育。</w:t>
      </w:r>
    </w:p>
    <w:p w14:paraId="628530B6">
      <w:pPr>
        <w:ind w:firstLine="562" w:firstLineChars="200"/>
        <w:rPr>
          <w:rFonts w:ascii="Times New Roman" w:hAnsi="Times New Roman" w:eastAsia="仿宋_GB2312" w:cs="Times New Roman"/>
        </w:rPr>
      </w:pPr>
      <w:r>
        <w:rPr>
          <w:rFonts w:hint="eastAsia" w:ascii="Times New Roman" w:hAnsi="Times New Roman" w:eastAsia="仿宋_GB2312" w:cs="Times New Roman"/>
          <w:b/>
          <w:bCs/>
        </w:rPr>
        <w:t>实践流程板块。</w:t>
      </w:r>
      <w:r>
        <w:rPr>
          <w:rFonts w:hint="eastAsia" w:ascii="Times New Roman" w:hAnsi="Times New Roman" w:eastAsia="仿宋_GB2312" w:cs="Times New Roman"/>
        </w:rPr>
        <w:t>掌握实践安全要求、报销要求、海外实践评价标准等，学习规范高效开展外联工作的方法，熟悉因公出国手续等工作。</w:t>
      </w:r>
    </w:p>
    <w:p w14:paraId="2AAA9654">
      <w:pPr>
        <w:ind w:firstLine="562" w:firstLineChars="200"/>
        <w:rPr>
          <w:rFonts w:ascii="Times New Roman" w:hAnsi="Times New Roman" w:eastAsia="仿宋_GB2312" w:cs="Times New Roman"/>
        </w:rPr>
      </w:pPr>
      <w:r>
        <w:rPr>
          <w:rFonts w:hint="eastAsia" w:ascii="Times New Roman" w:hAnsi="Times New Roman" w:eastAsia="仿宋_GB2312" w:cs="Times New Roman"/>
          <w:b/>
          <w:bCs/>
        </w:rPr>
        <w:t>成果产出板块。</w:t>
      </w:r>
      <w:r>
        <w:rPr>
          <w:rFonts w:hint="eastAsia" w:ascii="Times New Roman" w:hAnsi="Times New Roman" w:eastAsia="仿宋_GB2312" w:cs="Times New Roman"/>
        </w:rPr>
        <w:t>学习如何围绕调研主题科学合理设计调查问卷和采访提纲；学习调研结果的分析处理方法与调研报告的撰写方法。</w:t>
      </w:r>
    </w:p>
    <w:p w14:paraId="6D55D0AE">
      <w:pPr>
        <w:ind w:firstLine="562" w:firstLineChars="200"/>
        <w:rPr>
          <w:rFonts w:ascii="Times New Roman" w:hAnsi="Times New Roman" w:eastAsia="仿宋_GB2312" w:cs="Times New Roman"/>
        </w:rPr>
      </w:pPr>
      <w:r>
        <w:rPr>
          <w:rFonts w:hint="eastAsia" w:ascii="Times New Roman" w:hAnsi="Times New Roman" w:eastAsia="仿宋_GB2312" w:cs="Times New Roman"/>
          <w:b/>
          <w:bCs/>
        </w:rPr>
        <w:t>知识储备板块。</w:t>
      </w:r>
      <w:r>
        <w:rPr>
          <w:rFonts w:hint="eastAsia" w:ascii="Times New Roman" w:hAnsi="Times New Roman" w:eastAsia="仿宋_GB2312" w:cs="Times New Roman"/>
        </w:rPr>
        <w:t>了解实践目的国基本国情和当地历史、地理、经济、社会方面的基本知识；学习经济全球化的背景意义、内涵逻辑、时代价值；掌握实践目的国对其态度以及对中经贸合作情况。</w:t>
      </w:r>
    </w:p>
    <w:p w14:paraId="10339DF2">
      <w:pPr>
        <w:ind w:firstLine="562" w:firstLineChars="200"/>
        <w:rPr>
          <w:rFonts w:ascii="Times New Roman" w:hAnsi="Times New Roman" w:eastAsia="仿宋_GB2312" w:cs="Times New Roman"/>
        </w:rPr>
      </w:pPr>
      <w:r>
        <w:rPr>
          <w:rFonts w:hint="eastAsia" w:ascii="Times New Roman" w:hAnsi="Times New Roman" w:eastAsia="仿宋_GB2312" w:cs="Times New Roman"/>
          <w:b/>
          <w:bCs/>
        </w:rPr>
        <w:t>支队自组织板块。</w:t>
      </w:r>
      <w:r>
        <w:rPr>
          <w:rFonts w:hint="eastAsia" w:ascii="Times New Roman" w:hAnsi="Times New Roman" w:eastAsia="仿宋_GB2312" w:cs="Times New Roman"/>
        </w:rPr>
        <w:t>支队应围绕调研方案，结合各自需求，自主开展有针对性的支队内特色培训交流活动。原则上支队自组织培训数比重应不低于总培训数的1</w:t>
      </w:r>
      <w:r>
        <w:rPr>
          <w:rFonts w:ascii="Times New Roman" w:hAnsi="Times New Roman" w:eastAsia="仿宋_GB2312" w:cs="Times New Roman"/>
        </w:rPr>
        <w:t>/5</w:t>
      </w:r>
      <w:r>
        <w:rPr>
          <w:rFonts w:hint="eastAsia" w:ascii="Times New Roman" w:hAnsi="Times New Roman" w:eastAsia="仿宋_GB2312" w:cs="Times New Roman"/>
        </w:rPr>
        <w:t>。</w:t>
      </w:r>
    </w:p>
    <w:p w14:paraId="273F14C6">
      <w:pPr>
        <w:ind w:firstLine="560" w:firstLineChars="200"/>
        <w:rPr>
          <w:rFonts w:ascii="Times New Roman" w:hAnsi="Times New Roman" w:eastAsia="仿宋_GB2312" w:cs="Times New Roman"/>
        </w:rPr>
      </w:pPr>
      <w:r>
        <w:rPr>
          <w:rFonts w:hint="eastAsia" w:ascii="Times New Roman" w:hAnsi="Times New Roman" w:eastAsia="仿宋_GB2312" w:cs="Times New Roman"/>
        </w:rPr>
        <w:t>具体培训课程、参与人员、授课时间地点等另行通知。</w:t>
      </w:r>
    </w:p>
    <w:p w14:paraId="3A0CAAD3">
      <w:pPr>
        <w:widowControl/>
        <w:spacing w:line="240" w:lineRule="auto"/>
        <w:jc w:val="left"/>
        <w:rPr>
          <w:rFonts w:ascii="Times New Roman" w:hAnsi="Times New Roman" w:eastAsia="仿宋_GB2312" w:cs="Times New Roman"/>
        </w:rPr>
      </w:pPr>
      <w:r>
        <w:rPr>
          <w:rFonts w:ascii="Times New Roman" w:hAnsi="Times New Roman" w:eastAsia="仿宋_GB2312" w:cs="Times New Roman"/>
        </w:rPr>
        <w:br w:type="page"/>
      </w:r>
    </w:p>
    <w:p w14:paraId="130231A7">
      <w:pPr>
        <w:widowControl/>
        <w:spacing w:line="400" w:lineRule="exact"/>
        <w:jc w:val="left"/>
        <w:rPr>
          <w:rFonts w:ascii="Times New Roman" w:hAnsi="Times New Roman" w:eastAsia="仿宋_GB2312" w:cs="Times New Roman"/>
          <w:sz w:val="32"/>
          <w:szCs w:val="32"/>
        </w:rPr>
      </w:pPr>
      <w:r>
        <w:rPr>
          <w:rFonts w:hint="eastAsia" w:ascii="黑体" w:hAnsi="黑体" w:eastAsia="黑体" w:cs="Times New Roman"/>
          <w:sz w:val="32"/>
          <w:szCs w:val="32"/>
        </w:rPr>
        <w:t>附件</w:t>
      </w:r>
      <w:r>
        <w:rPr>
          <w:rFonts w:hint="eastAsia" w:ascii="Times New Roman" w:hAnsi="Times New Roman" w:eastAsia="仿宋_GB2312" w:cs="Times New Roman"/>
          <w:sz w:val="32"/>
          <w:szCs w:val="32"/>
        </w:rPr>
        <w:t>5</w:t>
      </w:r>
    </w:p>
    <w:p w14:paraId="563794B4">
      <w:pPr>
        <w:widowControl/>
        <w:spacing w:line="400" w:lineRule="exact"/>
        <w:ind w:left="1280" w:hanging="1280" w:hangingChars="400"/>
        <w:jc w:val="left"/>
        <w:rPr>
          <w:rFonts w:ascii="Times New Roman" w:hAnsi="Times New Roman" w:eastAsia="仿宋_GB2312" w:cs="Times New Roman"/>
          <w:sz w:val="32"/>
          <w:szCs w:val="32"/>
        </w:rPr>
      </w:pPr>
    </w:p>
    <w:p w14:paraId="2D50B0B5">
      <w:pPr>
        <w:widowControl/>
        <w:spacing w:line="400" w:lineRule="exact"/>
        <w:ind w:left="1280" w:hanging="1280" w:hangingChars="400"/>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2026</w:t>
      </w:r>
      <w:r>
        <w:rPr>
          <w:rFonts w:hint="eastAsia" w:ascii="方正小标宋简体" w:hAnsi="Times New Roman" w:eastAsia="方正小标宋简体" w:cs="Times New Roman"/>
          <w:sz w:val="32"/>
          <w:szCs w:val="32"/>
        </w:rPr>
        <w:t>年寒假本科生海外社会实践立项表</w:t>
      </w:r>
    </w:p>
    <w:p w14:paraId="0B97D823">
      <w:pPr>
        <w:widowControl/>
        <w:spacing w:line="400" w:lineRule="exact"/>
        <w:ind w:left="1280" w:hanging="1280" w:hangingChars="400"/>
        <w:jc w:val="center"/>
        <w:rPr>
          <w:rFonts w:ascii="Times New Roman" w:hAnsi="Times New Roman" w:eastAsia="仿宋_GB2312" w:cs="Times New Roman"/>
          <w:sz w:val="32"/>
          <w:szCs w:val="32"/>
        </w:rPr>
      </w:pPr>
    </w:p>
    <w:p w14:paraId="5B4B7C06">
      <w:pPr>
        <w:widowControl/>
        <w:spacing w:line="240" w:lineRule="auto"/>
        <w:jc w:val="left"/>
        <w:rPr>
          <w:rFonts w:hint="eastAsia" w:ascii="黑体" w:hAnsi="黑体" w:eastAsia="黑体" w:cs="黑体"/>
          <w:kern w:val="0"/>
          <w:sz w:val="20"/>
          <w:szCs w:val="20"/>
        </w:rPr>
      </w:pPr>
      <w:r>
        <w:rPr>
          <w:rFonts w:hint="eastAsia" w:ascii="黑体" w:hAnsi="黑体" w:eastAsia="黑体" w:cs="黑体"/>
          <w:kern w:val="0"/>
          <w:sz w:val="20"/>
          <w:szCs w:val="20"/>
        </w:rPr>
        <w:t>院系：××</w:t>
      </w:r>
    </w:p>
    <w:p w14:paraId="79E1CCB1">
      <w:pPr>
        <w:widowControl/>
        <w:spacing w:line="400" w:lineRule="exact"/>
        <w:ind w:left="1280" w:hanging="1280" w:hangingChars="400"/>
        <w:jc w:val="left"/>
        <w:rPr>
          <w:rFonts w:ascii="Times New Roman" w:hAnsi="Times New Roman" w:eastAsia="仿宋_GB2312" w:cs="Times New Roman"/>
          <w:sz w:val="32"/>
          <w:szCs w:val="32"/>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1708"/>
        <w:gridCol w:w="1985"/>
        <w:gridCol w:w="2775"/>
      </w:tblGrid>
      <w:tr w14:paraId="0489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2074" w:type="dxa"/>
            <w:vAlign w:val="center"/>
          </w:tcPr>
          <w:p w14:paraId="66768C53">
            <w:pPr>
              <w:widowControl/>
              <w:spacing w:line="240" w:lineRule="auto"/>
              <w:jc w:val="center"/>
              <w:rPr>
                <w:rFonts w:hint="eastAsia" w:ascii="黑体" w:hAnsi="黑体" w:eastAsia="黑体" w:cs="黑体"/>
                <w:kern w:val="0"/>
                <w:sz w:val="20"/>
                <w:szCs w:val="20"/>
              </w:rPr>
            </w:pPr>
            <w:r>
              <w:rPr>
                <w:rFonts w:hint="eastAsia" w:ascii="黑体" w:hAnsi="黑体" w:eastAsia="黑体" w:cs="黑体"/>
                <w:kern w:val="0"/>
                <w:sz w:val="20"/>
                <w:szCs w:val="20"/>
              </w:rPr>
              <w:t>支队名称</w:t>
            </w:r>
          </w:p>
        </w:tc>
        <w:tc>
          <w:tcPr>
            <w:tcW w:w="1708" w:type="dxa"/>
            <w:vAlign w:val="center"/>
          </w:tcPr>
          <w:p w14:paraId="6CF226E3">
            <w:pPr>
              <w:widowControl/>
              <w:spacing w:line="240" w:lineRule="auto"/>
              <w:jc w:val="center"/>
              <w:rPr>
                <w:rFonts w:hint="eastAsia" w:ascii="黑体" w:hAnsi="黑体" w:eastAsia="黑体" w:cs="黑体"/>
                <w:kern w:val="0"/>
                <w:sz w:val="20"/>
                <w:szCs w:val="20"/>
              </w:rPr>
            </w:pPr>
            <w:r>
              <w:rPr>
                <w:rFonts w:hint="eastAsia" w:ascii="黑体" w:hAnsi="黑体" w:eastAsia="黑体" w:cs="黑体"/>
                <w:kern w:val="0"/>
                <w:sz w:val="20"/>
                <w:szCs w:val="20"/>
              </w:rPr>
              <w:t>目的地国家</w:t>
            </w:r>
          </w:p>
        </w:tc>
        <w:tc>
          <w:tcPr>
            <w:tcW w:w="1985" w:type="dxa"/>
            <w:vAlign w:val="center"/>
          </w:tcPr>
          <w:p w14:paraId="20CAD165">
            <w:pPr>
              <w:widowControl/>
              <w:spacing w:line="240" w:lineRule="auto"/>
              <w:jc w:val="center"/>
              <w:rPr>
                <w:rFonts w:hint="eastAsia" w:ascii="黑体" w:hAnsi="黑体" w:eastAsia="黑体" w:cs="黑体"/>
                <w:kern w:val="0"/>
                <w:sz w:val="20"/>
                <w:szCs w:val="20"/>
              </w:rPr>
            </w:pPr>
            <w:r>
              <w:rPr>
                <w:rFonts w:hint="eastAsia" w:ascii="黑体" w:hAnsi="黑体" w:eastAsia="黑体" w:cs="黑体"/>
                <w:kern w:val="0"/>
                <w:sz w:val="20"/>
                <w:szCs w:val="20"/>
              </w:rPr>
              <w:t>支队长（列全）全）</w:t>
            </w:r>
          </w:p>
        </w:tc>
        <w:tc>
          <w:tcPr>
            <w:tcW w:w="2775" w:type="dxa"/>
            <w:vAlign w:val="center"/>
          </w:tcPr>
          <w:p w14:paraId="1FCFDE25">
            <w:pPr>
              <w:widowControl/>
              <w:spacing w:line="240" w:lineRule="auto"/>
              <w:jc w:val="center"/>
              <w:rPr>
                <w:rFonts w:hint="eastAsia" w:ascii="黑体" w:hAnsi="黑体" w:eastAsia="黑体" w:cs="黑体"/>
                <w:kern w:val="0"/>
                <w:sz w:val="20"/>
                <w:szCs w:val="20"/>
              </w:rPr>
            </w:pPr>
            <w:r>
              <w:rPr>
                <w:rFonts w:hint="eastAsia" w:ascii="黑体" w:hAnsi="黑体" w:eastAsia="黑体" w:cs="黑体"/>
                <w:kern w:val="0"/>
                <w:sz w:val="20"/>
                <w:szCs w:val="20"/>
              </w:rPr>
              <w:t>支队长微信号</w:t>
            </w:r>
          </w:p>
        </w:tc>
      </w:tr>
      <w:tr w14:paraId="5435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2074" w:type="dxa"/>
            <w:vAlign w:val="center"/>
          </w:tcPr>
          <w:p w14:paraId="3A257146">
            <w:pPr>
              <w:widowControl/>
              <w:spacing w:line="240" w:lineRule="auto"/>
              <w:jc w:val="center"/>
              <w:rPr>
                <w:rFonts w:ascii="Times New Roman" w:hAnsi="Times New Roman" w:eastAsia="仿宋_GB2312" w:cs="Times New Roman"/>
                <w:kern w:val="0"/>
              </w:rPr>
            </w:pPr>
          </w:p>
        </w:tc>
        <w:tc>
          <w:tcPr>
            <w:tcW w:w="1708" w:type="dxa"/>
            <w:vAlign w:val="center"/>
          </w:tcPr>
          <w:p w14:paraId="49776C70">
            <w:pPr>
              <w:widowControl/>
              <w:spacing w:line="240" w:lineRule="auto"/>
              <w:jc w:val="center"/>
              <w:rPr>
                <w:rFonts w:ascii="Times New Roman" w:hAnsi="Times New Roman" w:eastAsia="仿宋_GB2312" w:cs="Times New Roman"/>
                <w:kern w:val="0"/>
              </w:rPr>
            </w:pPr>
          </w:p>
        </w:tc>
        <w:tc>
          <w:tcPr>
            <w:tcW w:w="1985" w:type="dxa"/>
            <w:vAlign w:val="center"/>
          </w:tcPr>
          <w:p w14:paraId="0587CEA5">
            <w:pPr>
              <w:widowControl/>
              <w:spacing w:line="240" w:lineRule="auto"/>
              <w:jc w:val="center"/>
              <w:rPr>
                <w:rFonts w:ascii="Times New Roman" w:hAnsi="Times New Roman" w:eastAsia="仿宋_GB2312" w:cs="Times New Roman"/>
                <w:kern w:val="0"/>
              </w:rPr>
            </w:pPr>
          </w:p>
        </w:tc>
        <w:tc>
          <w:tcPr>
            <w:tcW w:w="2775" w:type="dxa"/>
            <w:vAlign w:val="center"/>
          </w:tcPr>
          <w:p w14:paraId="460F4E22">
            <w:pPr>
              <w:widowControl/>
              <w:spacing w:line="240" w:lineRule="auto"/>
              <w:jc w:val="center"/>
              <w:rPr>
                <w:rFonts w:ascii="Times New Roman" w:hAnsi="Times New Roman" w:eastAsia="仿宋_GB2312" w:cs="Times New Roman"/>
                <w:kern w:val="0"/>
              </w:rPr>
            </w:pPr>
          </w:p>
        </w:tc>
      </w:tr>
      <w:tr w14:paraId="7545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2074" w:type="dxa"/>
            <w:vAlign w:val="center"/>
          </w:tcPr>
          <w:p w14:paraId="19C0A141">
            <w:pPr>
              <w:widowControl/>
              <w:spacing w:line="240" w:lineRule="auto"/>
              <w:jc w:val="center"/>
              <w:rPr>
                <w:rFonts w:ascii="Times New Roman" w:hAnsi="Times New Roman" w:eastAsia="仿宋_GB2312" w:cs="Times New Roman"/>
                <w:kern w:val="0"/>
              </w:rPr>
            </w:pPr>
          </w:p>
        </w:tc>
        <w:tc>
          <w:tcPr>
            <w:tcW w:w="1708" w:type="dxa"/>
            <w:vAlign w:val="center"/>
          </w:tcPr>
          <w:p w14:paraId="0DF6F1B0">
            <w:pPr>
              <w:widowControl/>
              <w:spacing w:line="240" w:lineRule="auto"/>
              <w:jc w:val="center"/>
              <w:rPr>
                <w:rFonts w:ascii="Times New Roman" w:hAnsi="Times New Roman" w:eastAsia="仿宋_GB2312" w:cs="Times New Roman"/>
                <w:kern w:val="0"/>
              </w:rPr>
            </w:pPr>
          </w:p>
        </w:tc>
        <w:tc>
          <w:tcPr>
            <w:tcW w:w="1985" w:type="dxa"/>
            <w:vAlign w:val="center"/>
          </w:tcPr>
          <w:p w14:paraId="55A2B3D2">
            <w:pPr>
              <w:widowControl/>
              <w:spacing w:line="240" w:lineRule="auto"/>
              <w:jc w:val="center"/>
              <w:rPr>
                <w:rFonts w:ascii="Times New Roman" w:hAnsi="Times New Roman" w:eastAsia="仿宋_GB2312" w:cs="Times New Roman"/>
                <w:kern w:val="0"/>
              </w:rPr>
            </w:pPr>
          </w:p>
        </w:tc>
        <w:tc>
          <w:tcPr>
            <w:tcW w:w="2775" w:type="dxa"/>
            <w:vAlign w:val="center"/>
          </w:tcPr>
          <w:p w14:paraId="5DD952AF">
            <w:pPr>
              <w:widowControl/>
              <w:spacing w:line="240" w:lineRule="auto"/>
              <w:jc w:val="center"/>
              <w:rPr>
                <w:rFonts w:ascii="Times New Roman" w:hAnsi="Times New Roman" w:eastAsia="仿宋_GB2312" w:cs="Times New Roman"/>
                <w:kern w:val="0"/>
              </w:rPr>
            </w:pPr>
          </w:p>
        </w:tc>
      </w:tr>
      <w:tr w14:paraId="32F04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2074" w:type="dxa"/>
            <w:vAlign w:val="center"/>
          </w:tcPr>
          <w:p w14:paraId="15405231">
            <w:pPr>
              <w:widowControl/>
              <w:spacing w:line="240" w:lineRule="auto"/>
              <w:jc w:val="center"/>
              <w:rPr>
                <w:rFonts w:ascii="Times New Roman" w:hAnsi="Times New Roman" w:eastAsia="仿宋_GB2312" w:cs="Times New Roman"/>
                <w:kern w:val="0"/>
              </w:rPr>
            </w:pPr>
          </w:p>
        </w:tc>
        <w:tc>
          <w:tcPr>
            <w:tcW w:w="1708" w:type="dxa"/>
            <w:vAlign w:val="center"/>
          </w:tcPr>
          <w:p w14:paraId="5F9DCFE1">
            <w:pPr>
              <w:widowControl/>
              <w:spacing w:line="240" w:lineRule="auto"/>
              <w:jc w:val="center"/>
              <w:rPr>
                <w:rFonts w:ascii="Times New Roman" w:hAnsi="Times New Roman" w:eastAsia="仿宋_GB2312" w:cs="Times New Roman"/>
                <w:kern w:val="0"/>
              </w:rPr>
            </w:pPr>
          </w:p>
        </w:tc>
        <w:tc>
          <w:tcPr>
            <w:tcW w:w="1985" w:type="dxa"/>
            <w:vAlign w:val="center"/>
          </w:tcPr>
          <w:p w14:paraId="443CDFC7">
            <w:pPr>
              <w:widowControl/>
              <w:spacing w:line="240" w:lineRule="auto"/>
              <w:jc w:val="center"/>
              <w:rPr>
                <w:rFonts w:ascii="Times New Roman" w:hAnsi="Times New Roman" w:eastAsia="仿宋_GB2312" w:cs="Times New Roman"/>
                <w:kern w:val="0"/>
              </w:rPr>
            </w:pPr>
          </w:p>
        </w:tc>
        <w:tc>
          <w:tcPr>
            <w:tcW w:w="2775" w:type="dxa"/>
            <w:vAlign w:val="center"/>
          </w:tcPr>
          <w:p w14:paraId="6E61A47D">
            <w:pPr>
              <w:widowControl/>
              <w:spacing w:line="240" w:lineRule="auto"/>
              <w:jc w:val="center"/>
              <w:rPr>
                <w:rFonts w:ascii="Times New Roman" w:hAnsi="Times New Roman" w:eastAsia="仿宋_GB2312" w:cs="Times New Roman"/>
                <w:kern w:val="0"/>
              </w:rPr>
            </w:pPr>
          </w:p>
        </w:tc>
      </w:tr>
      <w:tr w14:paraId="20D3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2074" w:type="dxa"/>
            <w:vAlign w:val="center"/>
          </w:tcPr>
          <w:p w14:paraId="48226C18">
            <w:pPr>
              <w:widowControl/>
              <w:spacing w:line="240" w:lineRule="auto"/>
              <w:jc w:val="center"/>
              <w:rPr>
                <w:rFonts w:ascii="Times New Roman" w:hAnsi="Times New Roman" w:eastAsia="仿宋_GB2312" w:cs="Times New Roman"/>
                <w:kern w:val="0"/>
              </w:rPr>
            </w:pPr>
          </w:p>
        </w:tc>
        <w:tc>
          <w:tcPr>
            <w:tcW w:w="1708" w:type="dxa"/>
            <w:vAlign w:val="center"/>
          </w:tcPr>
          <w:p w14:paraId="6B99BA78">
            <w:pPr>
              <w:widowControl/>
              <w:spacing w:line="240" w:lineRule="auto"/>
              <w:jc w:val="center"/>
              <w:rPr>
                <w:rFonts w:ascii="Times New Roman" w:hAnsi="Times New Roman" w:eastAsia="仿宋_GB2312" w:cs="Times New Roman"/>
                <w:kern w:val="0"/>
              </w:rPr>
            </w:pPr>
          </w:p>
        </w:tc>
        <w:tc>
          <w:tcPr>
            <w:tcW w:w="1985" w:type="dxa"/>
            <w:vAlign w:val="center"/>
          </w:tcPr>
          <w:p w14:paraId="03938110">
            <w:pPr>
              <w:widowControl/>
              <w:spacing w:line="240" w:lineRule="auto"/>
              <w:jc w:val="center"/>
              <w:rPr>
                <w:rFonts w:ascii="Times New Roman" w:hAnsi="Times New Roman" w:eastAsia="仿宋_GB2312" w:cs="Times New Roman"/>
                <w:kern w:val="0"/>
              </w:rPr>
            </w:pPr>
          </w:p>
        </w:tc>
        <w:tc>
          <w:tcPr>
            <w:tcW w:w="2775" w:type="dxa"/>
            <w:vAlign w:val="center"/>
          </w:tcPr>
          <w:p w14:paraId="4CCAF2D7">
            <w:pPr>
              <w:widowControl/>
              <w:spacing w:line="240" w:lineRule="auto"/>
              <w:jc w:val="center"/>
              <w:rPr>
                <w:rFonts w:ascii="Times New Roman" w:hAnsi="Times New Roman" w:eastAsia="仿宋_GB2312" w:cs="Times New Roman"/>
                <w:kern w:val="0"/>
              </w:rPr>
            </w:pPr>
          </w:p>
        </w:tc>
      </w:tr>
      <w:tr w14:paraId="6278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2074" w:type="dxa"/>
            <w:vAlign w:val="center"/>
          </w:tcPr>
          <w:p w14:paraId="5B938801">
            <w:pPr>
              <w:widowControl/>
              <w:spacing w:line="240" w:lineRule="auto"/>
              <w:jc w:val="center"/>
              <w:rPr>
                <w:rFonts w:ascii="Times New Roman" w:hAnsi="Times New Roman" w:eastAsia="仿宋_GB2312" w:cs="Times New Roman"/>
                <w:kern w:val="0"/>
              </w:rPr>
            </w:pPr>
          </w:p>
        </w:tc>
        <w:tc>
          <w:tcPr>
            <w:tcW w:w="1708" w:type="dxa"/>
            <w:vAlign w:val="center"/>
          </w:tcPr>
          <w:p w14:paraId="45D571B8">
            <w:pPr>
              <w:widowControl/>
              <w:spacing w:line="240" w:lineRule="auto"/>
              <w:jc w:val="center"/>
              <w:rPr>
                <w:rFonts w:ascii="Times New Roman" w:hAnsi="Times New Roman" w:eastAsia="仿宋_GB2312" w:cs="Times New Roman"/>
                <w:kern w:val="0"/>
              </w:rPr>
            </w:pPr>
          </w:p>
        </w:tc>
        <w:tc>
          <w:tcPr>
            <w:tcW w:w="1985" w:type="dxa"/>
            <w:vAlign w:val="center"/>
          </w:tcPr>
          <w:p w14:paraId="28787424">
            <w:pPr>
              <w:widowControl/>
              <w:spacing w:line="240" w:lineRule="auto"/>
              <w:jc w:val="center"/>
              <w:rPr>
                <w:rFonts w:ascii="Times New Roman" w:hAnsi="Times New Roman" w:eastAsia="仿宋_GB2312" w:cs="Times New Roman"/>
                <w:kern w:val="0"/>
              </w:rPr>
            </w:pPr>
          </w:p>
        </w:tc>
        <w:tc>
          <w:tcPr>
            <w:tcW w:w="2775" w:type="dxa"/>
            <w:vAlign w:val="center"/>
          </w:tcPr>
          <w:p w14:paraId="300C49D1">
            <w:pPr>
              <w:widowControl/>
              <w:spacing w:line="240" w:lineRule="auto"/>
              <w:jc w:val="center"/>
              <w:rPr>
                <w:rFonts w:ascii="Times New Roman" w:hAnsi="Times New Roman" w:eastAsia="仿宋_GB2312" w:cs="Times New Roman"/>
                <w:kern w:val="0"/>
              </w:rPr>
            </w:pPr>
          </w:p>
        </w:tc>
      </w:tr>
    </w:tbl>
    <w:p w14:paraId="4AC62503">
      <w:pPr>
        <w:widowControl/>
        <w:spacing w:line="240" w:lineRule="auto"/>
        <w:jc w:val="left"/>
        <w:rPr>
          <w:rFonts w:ascii="Times New Roman" w:hAnsi="Times New Roman" w:eastAsia="仿宋_GB2312" w:cs="仿宋"/>
          <w:kern w:val="0"/>
          <w:sz w:val="21"/>
          <w:szCs w:val="21"/>
        </w:rPr>
      </w:pPr>
    </w:p>
    <w:p w14:paraId="2E86CE44">
      <w:pPr>
        <w:widowControl/>
        <w:spacing w:line="240" w:lineRule="auto"/>
        <w:jc w:val="left"/>
        <w:rPr>
          <w:rFonts w:ascii="Times New Roman" w:hAnsi="Times New Roman" w:eastAsia="仿宋_GB2312" w:cs="仿宋"/>
          <w:kern w:val="0"/>
          <w:sz w:val="21"/>
          <w:szCs w:val="21"/>
        </w:rPr>
      </w:pPr>
    </w:p>
    <w:p w14:paraId="04A3C8F2">
      <w:pPr>
        <w:widowControl/>
        <w:spacing w:line="240" w:lineRule="auto"/>
        <w:jc w:val="left"/>
        <w:rPr>
          <w:rFonts w:ascii="Times New Roman" w:hAnsi="Times New Roman" w:eastAsia="仿宋_GB2312" w:cs="仿宋"/>
          <w:kern w:val="0"/>
          <w:sz w:val="21"/>
          <w:szCs w:val="21"/>
        </w:rPr>
      </w:pPr>
    </w:p>
    <w:p w14:paraId="1A608EE8">
      <w:pPr>
        <w:widowControl/>
        <w:spacing w:line="240" w:lineRule="auto"/>
        <w:jc w:val="left"/>
        <w:rPr>
          <w:rFonts w:hint="eastAsia" w:ascii="黑体" w:hAnsi="黑体" w:eastAsia="黑体" w:cs="Times New Roman"/>
          <w:sz w:val="32"/>
          <w:szCs w:val="32"/>
        </w:rPr>
      </w:pPr>
      <w:r>
        <w:rPr>
          <w:rFonts w:hint="eastAsia" w:ascii="Times New Roman" w:hAnsi="Times New Roman" w:eastAsia="仿宋_GB2312" w:cs="华文中宋"/>
          <w:sz w:val="24"/>
        </w:rPr>
        <w:t xml:space="preserve">                              </w:t>
      </w:r>
      <w:r>
        <w:rPr>
          <w:rFonts w:ascii="黑体" w:hAnsi="黑体" w:eastAsia="黑体" w:cs="华文中宋"/>
          <w:sz w:val="24"/>
        </w:rPr>
        <w:t xml:space="preserve">     </w:t>
      </w:r>
      <w:r>
        <w:rPr>
          <w:rFonts w:hint="eastAsia" w:ascii="黑体" w:hAnsi="黑体" w:eastAsia="黑体" w:cs="华文中宋"/>
          <w:sz w:val="24"/>
        </w:rPr>
        <w:t xml:space="preserve">  </w:t>
      </w:r>
      <w:r>
        <w:rPr>
          <w:rFonts w:hint="eastAsia" w:ascii="黑体" w:hAnsi="黑体" w:eastAsia="黑体" w:cs="黑体"/>
          <w:sz w:val="24"/>
        </w:rPr>
        <w:t>主责单位团委书记签字：</w:t>
      </w:r>
    </w:p>
    <w:p w14:paraId="05572D75">
      <w:pPr>
        <w:widowControl/>
        <w:spacing w:line="240" w:lineRule="auto"/>
        <w:jc w:val="center"/>
        <w:rPr>
          <w:rFonts w:hint="eastAsia" w:ascii="黑体" w:hAnsi="黑体" w:eastAsia="黑体" w:cs="黑体"/>
          <w:kern w:val="0"/>
          <w:sz w:val="24"/>
        </w:rPr>
      </w:pPr>
      <w:r>
        <w:rPr>
          <w:rFonts w:hint="eastAsia" w:ascii="黑体" w:hAnsi="黑体" w:eastAsia="黑体" w:cs="黑体"/>
          <w:kern w:val="0"/>
          <w:sz w:val="24"/>
        </w:rPr>
        <w:t xml:space="preserve">                              </w:t>
      </w:r>
    </w:p>
    <w:p w14:paraId="7C778671">
      <w:pPr>
        <w:widowControl/>
        <w:spacing w:line="240" w:lineRule="auto"/>
        <w:jc w:val="center"/>
        <w:rPr>
          <w:rFonts w:hint="eastAsia" w:ascii="黑体" w:hAnsi="黑体" w:eastAsia="黑体" w:cs="黑体"/>
          <w:kern w:val="0"/>
          <w:sz w:val="24"/>
        </w:rPr>
      </w:pPr>
      <w:r>
        <w:rPr>
          <w:rFonts w:hint="eastAsia" w:ascii="黑体" w:hAnsi="黑体" w:eastAsia="黑体" w:cs="黑体"/>
          <w:kern w:val="0"/>
          <w:sz w:val="24"/>
        </w:rPr>
        <w:t xml:space="preserve">                               主责单位团委公章：</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B14F3B1-13D0-4F2B-862D-8803E7604CA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embedRegular r:id="rId2" w:fontKey="{F5B48373-5600-4CB2-B991-31164FBCCEAC}"/>
  </w:font>
  <w:font w:name="仿宋_GB2312">
    <w:panose1 w:val="02010609030101010101"/>
    <w:charset w:val="86"/>
    <w:family w:val="modern"/>
    <w:pitch w:val="default"/>
    <w:sig w:usb0="00000001" w:usb1="080E0000" w:usb2="00000000" w:usb3="00000000" w:csb0="00040000" w:csb1="00000000"/>
    <w:embedRegular r:id="rId3" w:fontKey="{68D68A74-6D88-4380-8980-17C085E7A0F9}"/>
  </w:font>
  <w:font w:name="楷体_GB2312">
    <w:panose1 w:val="02010609030101010101"/>
    <w:charset w:val="86"/>
    <w:family w:val="modern"/>
    <w:pitch w:val="default"/>
    <w:sig w:usb0="00000001" w:usb1="080E0000" w:usb2="00000000" w:usb3="00000000" w:csb0="00040000" w:csb1="00000000"/>
    <w:embedRegular r:id="rId4" w:fontKey="{004B1F2E-B597-4133-933C-DAABC382FBC0}"/>
  </w:font>
  <w:font w:name="等线 Light">
    <w:panose1 w:val="02010600030101010101"/>
    <w:charset w:val="86"/>
    <w:family w:val="auto"/>
    <w:pitch w:val="default"/>
    <w:sig w:usb0="A00002BF" w:usb1="38CF7CFA" w:usb2="00000016" w:usb3="00000000" w:csb0="0004000F" w:csb1="00000000"/>
    <w:embedRegular r:id="rId5" w:fontKey="{25C6E3B9-FBEE-4F88-BCA1-EBF871B10564}"/>
  </w:font>
  <w:font w:name="仿宋">
    <w:panose1 w:val="02010609060101010101"/>
    <w:charset w:val="86"/>
    <w:family w:val="modern"/>
    <w:pitch w:val="default"/>
    <w:sig w:usb0="800002BF" w:usb1="38CF7CFA" w:usb2="00000016" w:usb3="00000000" w:csb0="00040001" w:csb1="00000000"/>
    <w:embedRegular r:id="rId6" w:fontKey="{7702BF97-CDAB-4586-A179-E2205E6082D3}"/>
  </w:font>
  <w:font w:name="Cambria Math">
    <w:panose1 w:val="02040503050406030204"/>
    <w:charset w:val="00"/>
    <w:family w:val="roman"/>
    <w:pitch w:val="default"/>
    <w:sig w:usb0="E00006FF" w:usb1="420024FF" w:usb2="02000000" w:usb3="00000000" w:csb0="2000019F" w:csb1="00000000"/>
    <w:embedRegular r:id="rId7" w:fontKey="{3AB7FF78-08BF-4382-9F99-373AA72834C8}"/>
  </w:font>
  <w:font w:name="华文中宋">
    <w:panose1 w:val="02010600040101010101"/>
    <w:charset w:val="86"/>
    <w:family w:val="auto"/>
    <w:pitch w:val="default"/>
    <w:sig w:usb0="00000287" w:usb1="080F0000" w:usb2="00000000" w:usb3="00000000" w:csb0="0004009F" w:csb1="DFD70000"/>
    <w:embedRegular r:id="rId8" w:fontKey="{C3226CFA-A9E5-4FA1-B4AB-58D84CB2238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YWYxZDNlZjc3ZjU4MTRjOWUyYzVjZjdlNzAxYWQifQ=="/>
  </w:docVars>
  <w:rsids>
    <w:rsidRoot w:val="006039C1"/>
    <w:rsid w:val="00006EC0"/>
    <w:rsid w:val="00017BE9"/>
    <w:rsid w:val="00030BEB"/>
    <w:rsid w:val="00030F41"/>
    <w:rsid w:val="000527E4"/>
    <w:rsid w:val="00054C6A"/>
    <w:rsid w:val="00055193"/>
    <w:rsid w:val="00055CE3"/>
    <w:rsid w:val="0007480A"/>
    <w:rsid w:val="0007592C"/>
    <w:rsid w:val="000826B5"/>
    <w:rsid w:val="00090263"/>
    <w:rsid w:val="00092628"/>
    <w:rsid w:val="00096996"/>
    <w:rsid w:val="000A06C2"/>
    <w:rsid w:val="000A229B"/>
    <w:rsid w:val="000A61C9"/>
    <w:rsid w:val="000B0659"/>
    <w:rsid w:val="000B49E1"/>
    <w:rsid w:val="000B752C"/>
    <w:rsid w:val="000D1271"/>
    <w:rsid w:val="000D3F8B"/>
    <w:rsid w:val="000E0853"/>
    <w:rsid w:val="000E1EB5"/>
    <w:rsid w:val="000F1BF5"/>
    <w:rsid w:val="00100BDF"/>
    <w:rsid w:val="001014FB"/>
    <w:rsid w:val="0010218F"/>
    <w:rsid w:val="00103CF0"/>
    <w:rsid w:val="00106474"/>
    <w:rsid w:val="00107B5E"/>
    <w:rsid w:val="00113159"/>
    <w:rsid w:val="00121F58"/>
    <w:rsid w:val="00123879"/>
    <w:rsid w:val="00135438"/>
    <w:rsid w:val="001401FB"/>
    <w:rsid w:val="00155D3B"/>
    <w:rsid w:val="00164284"/>
    <w:rsid w:val="00191B8E"/>
    <w:rsid w:val="001921B2"/>
    <w:rsid w:val="00193E8C"/>
    <w:rsid w:val="001A2B75"/>
    <w:rsid w:val="001B05BD"/>
    <w:rsid w:val="001B1028"/>
    <w:rsid w:val="001C0D07"/>
    <w:rsid w:val="001C5AAA"/>
    <w:rsid w:val="001C6010"/>
    <w:rsid w:val="001D0A92"/>
    <w:rsid w:val="001E1D2A"/>
    <w:rsid w:val="001E3B4D"/>
    <w:rsid w:val="001E4F10"/>
    <w:rsid w:val="001E52C6"/>
    <w:rsid w:val="001E6279"/>
    <w:rsid w:val="001F43C6"/>
    <w:rsid w:val="00202117"/>
    <w:rsid w:val="00211EA2"/>
    <w:rsid w:val="002128DC"/>
    <w:rsid w:val="00220349"/>
    <w:rsid w:val="00243A94"/>
    <w:rsid w:val="0024557F"/>
    <w:rsid w:val="002538B3"/>
    <w:rsid w:val="002570F6"/>
    <w:rsid w:val="002611C8"/>
    <w:rsid w:val="002704B3"/>
    <w:rsid w:val="0028288F"/>
    <w:rsid w:val="00285950"/>
    <w:rsid w:val="00286191"/>
    <w:rsid w:val="00290DC8"/>
    <w:rsid w:val="00291C5B"/>
    <w:rsid w:val="002A2AA8"/>
    <w:rsid w:val="002A3B07"/>
    <w:rsid w:val="002A4164"/>
    <w:rsid w:val="002A732F"/>
    <w:rsid w:val="002A7D23"/>
    <w:rsid w:val="002B2863"/>
    <w:rsid w:val="002B75CD"/>
    <w:rsid w:val="002B7EEF"/>
    <w:rsid w:val="002C7BD3"/>
    <w:rsid w:val="002D2681"/>
    <w:rsid w:val="002E0692"/>
    <w:rsid w:val="002E0869"/>
    <w:rsid w:val="002E3449"/>
    <w:rsid w:val="002E7FA9"/>
    <w:rsid w:val="002F1F15"/>
    <w:rsid w:val="002F2DD2"/>
    <w:rsid w:val="00300438"/>
    <w:rsid w:val="0030161D"/>
    <w:rsid w:val="003028E5"/>
    <w:rsid w:val="0030744F"/>
    <w:rsid w:val="00314A52"/>
    <w:rsid w:val="00314B24"/>
    <w:rsid w:val="00316199"/>
    <w:rsid w:val="00316607"/>
    <w:rsid w:val="003171C5"/>
    <w:rsid w:val="003329E5"/>
    <w:rsid w:val="00336213"/>
    <w:rsid w:val="003439DA"/>
    <w:rsid w:val="00347375"/>
    <w:rsid w:val="00347EE6"/>
    <w:rsid w:val="003555CC"/>
    <w:rsid w:val="00363107"/>
    <w:rsid w:val="00363774"/>
    <w:rsid w:val="003654AC"/>
    <w:rsid w:val="00365F6E"/>
    <w:rsid w:val="00366889"/>
    <w:rsid w:val="00383EEE"/>
    <w:rsid w:val="003A47D5"/>
    <w:rsid w:val="003B17DC"/>
    <w:rsid w:val="003B315A"/>
    <w:rsid w:val="003B5820"/>
    <w:rsid w:val="003C1A6E"/>
    <w:rsid w:val="003C3AE0"/>
    <w:rsid w:val="003C482A"/>
    <w:rsid w:val="003E1837"/>
    <w:rsid w:val="003E1E4C"/>
    <w:rsid w:val="003E449A"/>
    <w:rsid w:val="003F02BA"/>
    <w:rsid w:val="00401A03"/>
    <w:rsid w:val="0040710B"/>
    <w:rsid w:val="00411348"/>
    <w:rsid w:val="00436A61"/>
    <w:rsid w:val="0043742E"/>
    <w:rsid w:val="0044039E"/>
    <w:rsid w:val="004506DA"/>
    <w:rsid w:val="00450ECA"/>
    <w:rsid w:val="0045245F"/>
    <w:rsid w:val="0046011B"/>
    <w:rsid w:val="004633D5"/>
    <w:rsid w:val="00487716"/>
    <w:rsid w:val="00490DAA"/>
    <w:rsid w:val="004A3C70"/>
    <w:rsid w:val="004A43C1"/>
    <w:rsid w:val="004B23F5"/>
    <w:rsid w:val="004B508B"/>
    <w:rsid w:val="004D2704"/>
    <w:rsid w:val="004D4015"/>
    <w:rsid w:val="004E06CB"/>
    <w:rsid w:val="004E0943"/>
    <w:rsid w:val="004E2A8D"/>
    <w:rsid w:val="004F2E37"/>
    <w:rsid w:val="004F47AC"/>
    <w:rsid w:val="004F62F8"/>
    <w:rsid w:val="004F7701"/>
    <w:rsid w:val="005009EB"/>
    <w:rsid w:val="00511FB3"/>
    <w:rsid w:val="00527564"/>
    <w:rsid w:val="00527668"/>
    <w:rsid w:val="00527832"/>
    <w:rsid w:val="00527ECD"/>
    <w:rsid w:val="00543C46"/>
    <w:rsid w:val="0054521D"/>
    <w:rsid w:val="00547F77"/>
    <w:rsid w:val="00552D50"/>
    <w:rsid w:val="005541BA"/>
    <w:rsid w:val="00554B61"/>
    <w:rsid w:val="00556EE6"/>
    <w:rsid w:val="00561989"/>
    <w:rsid w:val="00562DF0"/>
    <w:rsid w:val="0056681B"/>
    <w:rsid w:val="00570EA2"/>
    <w:rsid w:val="0057199C"/>
    <w:rsid w:val="00577C5C"/>
    <w:rsid w:val="0058331A"/>
    <w:rsid w:val="005878CE"/>
    <w:rsid w:val="00595FDC"/>
    <w:rsid w:val="005A527F"/>
    <w:rsid w:val="005B0444"/>
    <w:rsid w:val="005B0C95"/>
    <w:rsid w:val="005B0EFA"/>
    <w:rsid w:val="005C1BAA"/>
    <w:rsid w:val="005C3FDC"/>
    <w:rsid w:val="005C65AD"/>
    <w:rsid w:val="005D4EB0"/>
    <w:rsid w:val="005D6AA6"/>
    <w:rsid w:val="005E2F54"/>
    <w:rsid w:val="005E40D4"/>
    <w:rsid w:val="005F24CB"/>
    <w:rsid w:val="005F4EE6"/>
    <w:rsid w:val="005F65FA"/>
    <w:rsid w:val="00600DA4"/>
    <w:rsid w:val="00602BE5"/>
    <w:rsid w:val="006039C1"/>
    <w:rsid w:val="00606153"/>
    <w:rsid w:val="006076B8"/>
    <w:rsid w:val="006139DC"/>
    <w:rsid w:val="006149E4"/>
    <w:rsid w:val="006165E3"/>
    <w:rsid w:val="00623174"/>
    <w:rsid w:val="006233A9"/>
    <w:rsid w:val="006267AE"/>
    <w:rsid w:val="006267EC"/>
    <w:rsid w:val="006276AA"/>
    <w:rsid w:val="00634888"/>
    <w:rsid w:val="006416A0"/>
    <w:rsid w:val="00646C43"/>
    <w:rsid w:val="0064717A"/>
    <w:rsid w:val="00661978"/>
    <w:rsid w:val="00662CB1"/>
    <w:rsid w:val="0066500B"/>
    <w:rsid w:val="0066522D"/>
    <w:rsid w:val="00684588"/>
    <w:rsid w:val="00687139"/>
    <w:rsid w:val="0069385A"/>
    <w:rsid w:val="00694B8E"/>
    <w:rsid w:val="00696491"/>
    <w:rsid w:val="006A6801"/>
    <w:rsid w:val="006B5C79"/>
    <w:rsid w:val="006B6120"/>
    <w:rsid w:val="006B7403"/>
    <w:rsid w:val="006C258F"/>
    <w:rsid w:val="006C26D0"/>
    <w:rsid w:val="006D1805"/>
    <w:rsid w:val="006E0F79"/>
    <w:rsid w:val="006E22D0"/>
    <w:rsid w:val="006F1F43"/>
    <w:rsid w:val="00701059"/>
    <w:rsid w:val="007037EE"/>
    <w:rsid w:val="00703CA0"/>
    <w:rsid w:val="007052E5"/>
    <w:rsid w:val="00711A29"/>
    <w:rsid w:val="00711BC7"/>
    <w:rsid w:val="00712E5B"/>
    <w:rsid w:val="007179CD"/>
    <w:rsid w:val="0073281D"/>
    <w:rsid w:val="0073503E"/>
    <w:rsid w:val="00752FCA"/>
    <w:rsid w:val="0075325B"/>
    <w:rsid w:val="007639CE"/>
    <w:rsid w:val="0077035D"/>
    <w:rsid w:val="0077779C"/>
    <w:rsid w:val="007848CA"/>
    <w:rsid w:val="0078673C"/>
    <w:rsid w:val="007869D8"/>
    <w:rsid w:val="00791DB6"/>
    <w:rsid w:val="007B0640"/>
    <w:rsid w:val="007B182B"/>
    <w:rsid w:val="007B3555"/>
    <w:rsid w:val="007C0588"/>
    <w:rsid w:val="007C06AE"/>
    <w:rsid w:val="007C2302"/>
    <w:rsid w:val="007C39A6"/>
    <w:rsid w:val="007C44AD"/>
    <w:rsid w:val="007D146A"/>
    <w:rsid w:val="007D7F2F"/>
    <w:rsid w:val="007E070E"/>
    <w:rsid w:val="007E26DF"/>
    <w:rsid w:val="007E4CE1"/>
    <w:rsid w:val="007E5D20"/>
    <w:rsid w:val="007F018E"/>
    <w:rsid w:val="007F5B6B"/>
    <w:rsid w:val="00805E50"/>
    <w:rsid w:val="008069EF"/>
    <w:rsid w:val="0080752C"/>
    <w:rsid w:val="00812AA8"/>
    <w:rsid w:val="00814F66"/>
    <w:rsid w:val="0082045D"/>
    <w:rsid w:val="0082151A"/>
    <w:rsid w:val="00825E4A"/>
    <w:rsid w:val="0083189B"/>
    <w:rsid w:val="00831FF5"/>
    <w:rsid w:val="008365C2"/>
    <w:rsid w:val="008404A8"/>
    <w:rsid w:val="008463C2"/>
    <w:rsid w:val="00847E38"/>
    <w:rsid w:val="00851287"/>
    <w:rsid w:val="00852C92"/>
    <w:rsid w:val="00853ED3"/>
    <w:rsid w:val="00856E3C"/>
    <w:rsid w:val="00856E7C"/>
    <w:rsid w:val="00856F18"/>
    <w:rsid w:val="0086134C"/>
    <w:rsid w:val="00872D58"/>
    <w:rsid w:val="00874751"/>
    <w:rsid w:val="00882035"/>
    <w:rsid w:val="008827C5"/>
    <w:rsid w:val="00893C8B"/>
    <w:rsid w:val="00894349"/>
    <w:rsid w:val="008A172D"/>
    <w:rsid w:val="008A7B4A"/>
    <w:rsid w:val="008B10D1"/>
    <w:rsid w:val="008B1E7E"/>
    <w:rsid w:val="008B5F27"/>
    <w:rsid w:val="008C24DE"/>
    <w:rsid w:val="008C522D"/>
    <w:rsid w:val="008D65E6"/>
    <w:rsid w:val="008E0CCB"/>
    <w:rsid w:val="008E2DC4"/>
    <w:rsid w:val="008E3543"/>
    <w:rsid w:val="008E4CAB"/>
    <w:rsid w:val="008E526C"/>
    <w:rsid w:val="008E57C8"/>
    <w:rsid w:val="008F02EF"/>
    <w:rsid w:val="008F5C90"/>
    <w:rsid w:val="009045C0"/>
    <w:rsid w:val="00910DB1"/>
    <w:rsid w:val="009113E8"/>
    <w:rsid w:val="00917124"/>
    <w:rsid w:val="0092079A"/>
    <w:rsid w:val="00920D7D"/>
    <w:rsid w:val="00927709"/>
    <w:rsid w:val="00940C08"/>
    <w:rsid w:val="009457DF"/>
    <w:rsid w:val="00947D6C"/>
    <w:rsid w:val="00966F75"/>
    <w:rsid w:val="00967592"/>
    <w:rsid w:val="009678F1"/>
    <w:rsid w:val="00975DDF"/>
    <w:rsid w:val="00991A0E"/>
    <w:rsid w:val="009927F3"/>
    <w:rsid w:val="009A022E"/>
    <w:rsid w:val="009A210E"/>
    <w:rsid w:val="009A5027"/>
    <w:rsid w:val="009A697E"/>
    <w:rsid w:val="009B0F71"/>
    <w:rsid w:val="009B1BD8"/>
    <w:rsid w:val="009C3DFF"/>
    <w:rsid w:val="009C77A1"/>
    <w:rsid w:val="009C7A6B"/>
    <w:rsid w:val="009D4017"/>
    <w:rsid w:val="009D6216"/>
    <w:rsid w:val="009D68BB"/>
    <w:rsid w:val="009D7114"/>
    <w:rsid w:val="009E46C5"/>
    <w:rsid w:val="009E6DCA"/>
    <w:rsid w:val="009F2BB0"/>
    <w:rsid w:val="00A001EC"/>
    <w:rsid w:val="00A01F09"/>
    <w:rsid w:val="00A02753"/>
    <w:rsid w:val="00A061B9"/>
    <w:rsid w:val="00A133FC"/>
    <w:rsid w:val="00A14CBC"/>
    <w:rsid w:val="00A17D98"/>
    <w:rsid w:val="00A17E65"/>
    <w:rsid w:val="00A23F64"/>
    <w:rsid w:val="00A26126"/>
    <w:rsid w:val="00A31445"/>
    <w:rsid w:val="00A32F7C"/>
    <w:rsid w:val="00A353B6"/>
    <w:rsid w:val="00A43DE9"/>
    <w:rsid w:val="00A45677"/>
    <w:rsid w:val="00A47CC2"/>
    <w:rsid w:val="00A63D8A"/>
    <w:rsid w:val="00A642DA"/>
    <w:rsid w:val="00A65BEA"/>
    <w:rsid w:val="00A67A87"/>
    <w:rsid w:val="00A71EB5"/>
    <w:rsid w:val="00A80E22"/>
    <w:rsid w:val="00A83603"/>
    <w:rsid w:val="00A85A0F"/>
    <w:rsid w:val="00A97713"/>
    <w:rsid w:val="00AB1562"/>
    <w:rsid w:val="00AB3393"/>
    <w:rsid w:val="00AB3865"/>
    <w:rsid w:val="00AC085C"/>
    <w:rsid w:val="00AC2B65"/>
    <w:rsid w:val="00AD1FB4"/>
    <w:rsid w:val="00AD6374"/>
    <w:rsid w:val="00AE0E36"/>
    <w:rsid w:val="00AF6FF9"/>
    <w:rsid w:val="00B01FE8"/>
    <w:rsid w:val="00B055BE"/>
    <w:rsid w:val="00B060C8"/>
    <w:rsid w:val="00B10221"/>
    <w:rsid w:val="00B1618A"/>
    <w:rsid w:val="00B17D34"/>
    <w:rsid w:val="00B243D1"/>
    <w:rsid w:val="00B368B7"/>
    <w:rsid w:val="00B368CE"/>
    <w:rsid w:val="00B444D9"/>
    <w:rsid w:val="00B5491C"/>
    <w:rsid w:val="00B60EDB"/>
    <w:rsid w:val="00B65894"/>
    <w:rsid w:val="00B828D7"/>
    <w:rsid w:val="00B8734C"/>
    <w:rsid w:val="00B87D9A"/>
    <w:rsid w:val="00BA1184"/>
    <w:rsid w:val="00BA3DD5"/>
    <w:rsid w:val="00BA5A11"/>
    <w:rsid w:val="00BB216F"/>
    <w:rsid w:val="00BB28A8"/>
    <w:rsid w:val="00BB2E82"/>
    <w:rsid w:val="00BB440A"/>
    <w:rsid w:val="00BB5DDC"/>
    <w:rsid w:val="00BC0218"/>
    <w:rsid w:val="00BC05A3"/>
    <w:rsid w:val="00BC09AE"/>
    <w:rsid w:val="00BD22CA"/>
    <w:rsid w:val="00BD3227"/>
    <w:rsid w:val="00BD6415"/>
    <w:rsid w:val="00BD7380"/>
    <w:rsid w:val="00BE002B"/>
    <w:rsid w:val="00BE386A"/>
    <w:rsid w:val="00BE68D7"/>
    <w:rsid w:val="00BF000E"/>
    <w:rsid w:val="00BF02D3"/>
    <w:rsid w:val="00BF31A6"/>
    <w:rsid w:val="00C004A6"/>
    <w:rsid w:val="00C01041"/>
    <w:rsid w:val="00C116C5"/>
    <w:rsid w:val="00C2100F"/>
    <w:rsid w:val="00C22D8F"/>
    <w:rsid w:val="00C267B7"/>
    <w:rsid w:val="00C3156C"/>
    <w:rsid w:val="00C33109"/>
    <w:rsid w:val="00C361C0"/>
    <w:rsid w:val="00C514EF"/>
    <w:rsid w:val="00C66AB0"/>
    <w:rsid w:val="00C70731"/>
    <w:rsid w:val="00C802B0"/>
    <w:rsid w:val="00C83EEE"/>
    <w:rsid w:val="00C90E4B"/>
    <w:rsid w:val="00CB051A"/>
    <w:rsid w:val="00CC4335"/>
    <w:rsid w:val="00CD0358"/>
    <w:rsid w:val="00CD2659"/>
    <w:rsid w:val="00CD3022"/>
    <w:rsid w:val="00CD7DE8"/>
    <w:rsid w:val="00CE1101"/>
    <w:rsid w:val="00CF77AA"/>
    <w:rsid w:val="00D03E73"/>
    <w:rsid w:val="00D133F2"/>
    <w:rsid w:val="00D1764C"/>
    <w:rsid w:val="00D20BF5"/>
    <w:rsid w:val="00D23A2F"/>
    <w:rsid w:val="00D23CA1"/>
    <w:rsid w:val="00D24F00"/>
    <w:rsid w:val="00D24FF2"/>
    <w:rsid w:val="00D27DFE"/>
    <w:rsid w:val="00D32CC6"/>
    <w:rsid w:val="00D35C4D"/>
    <w:rsid w:val="00D439DB"/>
    <w:rsid w:val="00D5369D"/>
    <w:rsid w:val="00D631C6"/>
    <w:rsid w:val="00D648F4"/>
    <w:rsid w:val="00D65E1C"/>
    <w:rsid w:val="00D82DB1"/>
    <w:rsid w:val="00D926A6"/>
    <w:rsid w:val="00D952E3"/>
    <w:rsid w:val="00D96553"/>
    <w:rsid w:val="00DA2495"/>
    <w:rsid w:val="00DA6BB6"/>
    <w:rsid w:val="00DD0944"/>
    <w:rsid w:val="00DD3D9B"/>
    <w:rsid w:val="00DD5D7C"/>
    <w:rsid w:val="00DD72E8"/>
    <w:rsid w:val="00DE2B70"/>
    <w:rsid w:val="00DE4D1E"/>
    <w:rsid w:val="00DF444C"/>
    <w:rsid w:val="00DF76A3"/>
    <w:rsid w:val="00E0027D"/>
    <w:rsid w:val="00E01FFB"/>
    <w:rsid w:val="00E048FA"/>
    <w:rsid w:val="00E0626E"/>
    <w:rsid w:val="00E067C4"/>
    <w:rsid w:val="00E06875"/>
    <w:rsid w:val="00E11029"/>
    <w:rsid w:val="00E20FEC"/>
    <w:rsid w:val="00E212EF"/>
    <w:rsid w:val="00E23910"/>
    <w:rsid w:val="00E30731"/>
    <w:rsid w:val="00E36822"/>
    <w:rsid w:val="00E47CBB"/>
    <w:rsid w:val="00E60DB7"/>
    <w:rsid w:val="00E61EA8"/>
    <w:rsid w:val="00E74CDE"/>
    <w:rsid w:val="00E83C68"/>
    <w:rsid w:val="00E85877"/>
    <w:rsid w:val="00E87A73"/>
    <w:rsid w:val="00E9221C"/>
    <w:rsid w:val="00E97338"/>
    <w:rsid w:val="00EA0B95"/>
    <w:rsid w:val="00EA0F94"/>
    <w:rsid w:val="00EA3496"/>
    <w:rsid w:val="00EA6C7A"/>
    <w:rsid w:val="00EB0A9B"/>
    <w:rsid w:val="00EB2AC3"/>
    <w:rsid w:val="00EB6108"/>
    <w:rsid w:val="00EC3399"/>
    <w:rsid w:val="00EC765B"/>
    <w:rsid w:val="00EC7684"/>
    <w:rsid w:val="00ED1A9A"/>
    <w:rsid w:val="00ED7983"/>
    <w:rsid w:val="00EE0A1B"/>
    <w:rsid w:val="00EE55B6"/>
    <w:rsid w:val="00EE6608"/>
    <w:rsid w:val="00EE7CAC"/>
    <w:rsid w:val="00EF0ACD"/>
    <w:rsid w:val="00EF32D5"/>
    <w:rsid w:val="00F02C3B"/>
    <w:rsid w:val="00F04DD3"/>
    <w:rsid w:val="00F055A4"/>
    <w:rsid w:val="00F05C6F"/>
    <w:rsid w:val="00F0791B"/>
    <w:rsid w:val="00F112D6"/>
    <w:rsid w:val="00F15A49"/>
    <w:rsid w:val="00F16923"/>
    <w:rsid w:val="00F25890"/>
    <w:rsid w:val="00F3207D"/>
    <w:rsid w:val="00F32184"/>
    <w:rsid w:val="00F36654"/>
    <w:rsid w:val="00F37E44"/>
    <w:rsid w:val="00F46466"/>
    <w:rsid w:val="00F501C7"/>
    <w:rsid w:val="00F50FD6"/>
    <w:rsid w:val="00F51614"/>
    <w:rsid w:val="00F534F0"/>
    <w:rsid w:val="00F673ED"/>
    <w:rsid w:val="00F72D99"/>
    <w:rsid w:val="00F777C0"/>
    <w:rsid w:val="00F90FE7"/>
    <w:rsid w:val="00F9125F"/>
    <w:rsid w:val="00F93775"/>
    <w:rsid w:val="00FA64DE"/>
    <w:rsid w:val="00FB15FB"/>
    <w:rsid w:val="00FB1619"/>
    <w:rsid w:val="00FD62AC"/>
    <w:rsid w:val="00FD7ACA"/>
    <w:rsid w:val="00FE795C"/>
    <w:rsid w:val="00FF1031"/>
    <w:rsid w:val="00FF52F2"/>
    <w:rsid w:val="00FF6559"/>
    <w:rsid w:val="00FF76B5"/>
    <w:rsid w:val="055966E6"/>
    <w:rsid w:val="0657696D"/>
    <w:rsid w:val="091C51FC"/>
    <w:rsid w:val="0B2E7B43"/>
    <w:rsid w:val="0B7806EC"/>
    <w:rsid w:val="0BC14CD6"/>
    <w:rsid w:val="0CA8568B"/>
    <w:rsid w:val="0CBF4E14"/>
    <w:rsid w:val="15431F16"/>
    <w:rsid w:val="15962F5E"/>
    <w:rsid w:val="1AEA7676"/>
    <w:rsid w:val="1B4E59D9"/>
    <w:rsid w:val="1DAD5577"/>
    <w:rsid w:val="1F5574B8"/>
    <w:rsid w:val="1F676CAD"/>
    <w:rsid w:val="254A16D7"/>
    <w:rsid w:val="26DF5FC9"/>
    <w:rsid w:val="28764BC0"/>
    <w:rsid w:val="29AC4506"/>
    <w:rsid w:val="2C777EA7"/>
    <w:rsid w:val="2D96212F"/>
    <w:rsid w:val="2DAF28EF"/>
    <w:rsid w:val="3033253C"/>
    <w:rsid w:val="329C1417"/>
    <w:rsid w:val="36D5733C"/>
    <w:rsid w:val="3A631257"/>
    <w:rsid w:val="3B9C0AFA"/>
    <w:rsid w:val="3E3728B4"/>
    <w:rsid w:val="42291EEA"/>
    <w:rsid w:val="426202C0"/>
    <w:rsid w:val="47E33C9A"/>
    <w:rsid w:val="4C703C40"/>
    <w:rsid w:val="514A5BB0"/>
    <w:rsid w:val="53E21739"/>
    <w:rsid w:val="53E409FA"/>
    <w:rsid w:val="547756F4"/>
    <w:rsid w:val="558C0057"/>
    <w:rsid w:val="5EFFCB73"/>
    <w:rsid w:val="5F9FD028"/>
    <w:rsid w:val="615F356C"/>
    <w:rsid w:val="661406F1"/>
    <w:rsid w:val="6984398F"/>
    <w:rsid w:val="70B61DEF"/>
    <w:rsid w:val="73C81170"/>
    <w:rsid w:val="78D876E5"/>
    <w:rsid w:val="78FC3E4E"/>
    <w:rsid w:val="79762247"/>
    <w:rsid w:val="79C90FF2"/>
    <w:rsid w:val="7ADC0E90"/>
    <w:rsid w:val="7E1E2FE0"/>
    <w:rsid w:val="7E220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20" w:lineRule="exact"/>
      <w:jc w:val="both"/>
    </w:pPr>
    <w:rPr>
      <w:rFonts w:asciiTheme="minorHAnsi" w:hAnsiTheme="minorHAnsi" w:eastAsiaTheme="minorEastAsia" w:cstheme="minorBidi"/>
      <w:kern w:val="2"/>
      <w:sz w:val="28"/>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Normal Indent"/>
    <w:basedOn w:val="1"/>
    <w:unhideWhenUsed/>
    <w:qFormat/>
    <w:uiPriority w:val="99"/>
    <w:pPr>
      <w:ind w:firstLine="560" w:firstLineChars="200"/>
    </w:pPr>
  </w:style>
  <w:style w:type="paragraph" w:styleId="3">
    <w:name w:val="annotation text"/>
    <w:basedOn w:val="1"/>
    <w:link w:val="14"/>
    <w:unhideWhenUsed/>
    <w:qFormat/>
    <w:uiPriority w:val="99"/>
    <w:pPr>
      <w:jc w:val="left"/>
    </w:p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tabs>
        <w:tab w:val="center" w:pos="4153"/>
        <w:tab w:val="right" w:pos="8306"/>
      </w:tabs>
      <w:snapToGrid w:val="0"/>
      <w:jc w:val="center"/>
    </w:pPr>
    <w:rPr>
      <w:sz w:val="18"/>
      <w:szCs w:val="18"/>
    </w:rPr>
  </w:style>
  <w:style w:type="paragraph" w:styleId="6">
    <w:name w:val="Normal (Web)"/>
    <w:basedOn w:val="1"/>
    <w:qFormat/>
    <w:uiPriority w:val="0"/>
    <w:rPr>
      <w:sz w:val="24"/>
    </w:rPr>
  </w:style>
  <w:style w:type="paragraph" w:styleId="7">
    <w:name w:val="annotation subject"/>
    <w:basedOn w:val="3"/>
    <w:next w:val="3"/>
    <w:link w:val="16"/>
    <w:semiHidden/>
    <w:unhideWhenUsed/>
    <w:qFormat/>
    <w:uiPriority w:val="99"/>
    <w:rPr>
      <w:b/>
      <w:bCs/>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unhideWhenUsed/>
    <w:qFormat/>
    <w:uiPriority w:val="99"/>
    <w:rPr>
      <w:sz w:val="21"/>
      <w:szCs w:val="21"/>
    </w:rPr>
  </w:style>
  <w:style w:type="character" w:customStyle="1" w:styleId="12">
    <w:name w:val="页眉 字符"/>
    <w:basedOn w:val="10"/>
    <w:link w:val="5"/>
    <w:qFormat/>
    <w:uiPriority w:val="99"/>
    <w:rPr>
      <w:sz w:val="18"/>
      <w:szCs w:val="18"/>
    </w:rPr>
  </w:style>
  <w:style w:type="character" w:customStyle="1" w:styleId="13">
    <w:name w:val="页脚 字符"/>
    <w:basedOn w:val="10"/>
    <w:link w:val="4"/>
    <w:qFormat/>
    <w:uiPriority w:val="99"/>
    <w:rPr>
      <w:sz w:val="18"/>
      <w:szCs w:val="18"/>
    </w:rPr>
  </w:style>
  <w:style w:type="character" w:customStyle="1" w:styleId="14">
    <w:name w:val="批注文字 字符"/>
    <w:basedOn w:val="10"/>
    <w:link w:val="3"/>
    <w:qFormat/>
    <w:uiPriority w:val="99"/>
    <w:rPr>
      <w:sz w:val="28"/>
      <w:szCs w:val="24"/>
      <w14:ligatures w14:val="none"/>
    </w:rPr>
  </w:style>
  <w:style w:type="paragraph" w:styleId="15">
    <w:name w:val="List Paragraph"/>
    <w:basedOn w:val="1"/>
    <w:qFormat/>
    <w:uiPriority w:val="34"/>
    <w:pPr>
      <w:ind w:firstLine="420" w:firstLineChars="200"/>
    </w:pPr>
  </w:style>
  <w:style w:type="character" w:customStyle="1" w:styleId="16">
    <w:name w:val="批注主题 字符"/>
    <w:basedOn w:val="14"/>
    <w:link w:val="7"/>
    <w:semiHidden/>
    <w:qFormat/>
    <w:uiPriority w:val="99"/>
    <w:rPr>
      <w:b/>
      <w:bCs/>
      <w:sz w:val="28"/>
      <w:szCs w:val="24"/>
      <w14:ligatures w14:val="none"/>
    </w:rPr>
  </w:style>
  <w:style w:type="table" w:customStyle="1" w:styleId="17">
    <w:name w:val="清单表 6 彩色1"/>
    <w:basedOn w:val="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6404</Words>
  <Characters>6684</Characters>
  <Lines>49</Lines>
  <Paragraphs>14</Paragraphs>
  <TotalTime>645</TotalTime>
  <ScaleCrop>false</ScaleCrop>
  <LinksUpToDate>false</LinksUpToDate>
  <CharactersWithSpaces>6816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2025-04-01T16:20:00Z</dcterms:created>
  <dc:creator>2930076978@qq.com</dc:creator>
  <cp:lastModifiedBy>陈炼</cp:lastModifiedBy>
  <dcterms:modified xsi:type="dcterms:W3CDTF">2025-11-12T01:28:44Z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11cf08a938f872b06edfa89e4887f3ca8ae0877240ce8a877dc0e6b97102fc9a</vt:lpwstr>
  </property>
  <property fmtid="{D5CDD505-2E9C-101B-9397-08002B2CF9AE}" pid="3" name="KSOProductBuildVer">
    <vt:lpwstr>2052-12.1.0.21541</vt:lpwstr>
  </property>
  <property fmtid="{D5CDD505-2E9C-101B-9397-08002B2CF9AE}" pid="4" name="ICV">
    <vt:lpwstr>9A5BBF67FB8041119BA9453E3BBE42CB_13</vt:lpwstr>
  </property>
  <property fmtid="{D5CDD505-2E9C-101B-9397-08002B2CF9AE}" pid="5" name="KSOTemplateDocerSaveRecord">
    <vt:lpwstr>eyJoZGlkIjoiZTNiMmJjMGUyMDNhMGI0MjllZTc4OTE3ODRjOTBjMWQiLCJ1c2VySWQiOiIxNDg2NzAzNjMyIn0=</vt:lpwstr>
  </property>
</Properties>
</file>