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Merit: Accept</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 </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Multicore scaling does not solve the fundamental problem of Dennard scaling and is going to run into a power wall. This power wall is going to limit how useful additional cores are, since to meet a reasonable power budget cores will have to be nerfed. To explore how this will manifest, the authors build a bottom-up model for multicore processors which considers transistor technology node scaling and current PPA optimal processor architectures to develop whole core PPA models. They combine these models together with workload behaviors to develop a multicore model including 4 different multicore topologies.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authors find that the upper bound performance they predict for multicore processors does not scale nearly to the exponential gains we get out of Moore's law and have traditionally gotten year to year. They find that average speedups at future (now past) technology nodes will not be as high as they had been in the past. They also find that dark silicon may dominate chips in the near future (now past).</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 </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for submitting this work to the CS252a discussion group! Overall I would say this is a  methodologically rigorous exploration of complex, urgent problem facing the architecture community.</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Strengths:</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strategy for considering CPU and GPU topologies is an elegant way to consider chips like AMD Fusion and Intel Sandybridge, which put CPU and GPU cores together, while still maintaining a cogent framework.</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Considering power and area as decoupled is good. This is abundantly obvious in the pareto frontiers.</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Careful to keep assumptions optimistic (since results are rather pessimistic).</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tell a compelling, believable, and clear story about the future of multicore processors.</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Weaknesses:</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smaller technology nodes, I'm not convinced that simply allocating 20% of the power budget to leakage will be an accurate way of measuring. There may be more optimal allocations.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9 is the most important figure in the paper. And I was chomping at the bit to get to it the whole time. Without that graph in my head, it was hard to understand what I was looking at in the graphs before. I think it should be presented first in the evaluation, and then built back up to afterwards.</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Nehalem architecture's TDP for power pareto frontier was potentially misleading because of turbo boost.</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validation shows anomalies despite strongly optimistic assumptions.</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Questions:</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Would your results change if the percentage of the power budget allocated to leakage power was parameterized and could be optimized? Do you expect 20% to be the optimal percentage for leakage power?</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Did you turn-off turbo boost when collecting SPEC scores for the power/perf pareto frontier? If not, why not? If so, would it be more accurate to have included turbo-boost but found a way to model the power consumption beyond TDP?</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power budget allocated to the level 2 and level 3 caches is estimated and deducted from the chip TDP". How is it estimated?</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it problematic that the accuracy of the CmpMr validation is not particularly close? Is it enough for it to be optimistic if it isn't particularly accurate?</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