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sz w:val="26"/>
          <w:szCs w:val="26"/>
        </w:rPr>
      </w:pPr>
      <w:bookmarkStart w:colFirst="0" w:colLast="0" w:name="_gvneztohndf3" w:id="0"/>
      <w:bookmarkEnd w:id="0"/>
      <w:r w:rsidDel="00000000" w:rsidR="00000000" w:rsidRPr="00000000">
        <w:rPr>
          <w:b w:val="1"/>
          <w:bCs w:val="1"/>
          <w:color w:val="000000"/>
          <w:sz w:val="26"/>
          <w:szCs w:val="26"/>
          <w:rtl w:val="0"/>
        </w:rPr>
        <w:t xml:space="preserve">Overall Merit: Weak Accept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26"/>
          <w:szCs w:val="26"/>
        </w:rPr>
      </w:pPr>
      <w:bookmarkStart w:colFirst="0" w:colLast="0" w:name="_rjsbi0qh1j3e" w:id="1"/>
      <w:bookmarkEnd w:id="1"/>
      <w:r w:rsidDel="00000000" w:rsidR="00000000" w:rsidRPr="00000000">
        <w:rPr>
          <w:b w:val="1"/>
          <w:bCs w:val="1"/>
          <w:sz w:val="26"/>
          <w:szCs w:val="26"/>
          <w:rtl w:val="0"/>
        </w:rPr>
        <w:t xml:space="preserve">Summary</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In this paper, the authors investigate the architectural implications of the breakdown of Dennard scaling on multicore processors. The paper asks how performance should scale as transistor density continues to increase while power constraints prevent all transistors from being active simultaneously. The key insight is the notion of “dark silicon,” where only a fraction of the chip can be powered on at any given time. The authors develop a cross-layer analytical framework that connects device scaling assumptions, core design tradeoffs, multicore organization, and application parallelism. Using this framework, they show that simply increasing core counts yields diminishing performance returns and that specialization is a more promising response under power constraints.</w:t>
      </w:r>
    </w:p>
    <w:p w:rsidR="00000000" w:rsidDel="00000000" w:rsidP="00000000" w:rsidRDefault="00000000" w:rsidRPr="00000000" w14:paraId="00000004">
      <w:pPr>
        <w:pStyle w:val="Heading2"/>
        <w:keepNext w:val="0"/>
        <w:keepLines w:val="0"/>
        <w:spacing w:after="80" w:lineRule="auto"/>
        <w:rPr>
          <w:b w:val="1"/>
          <w:bCs w:val="1"/>
          <w:sz w:val="26"/>
          <w:szCs w:val="26"/>
        </w:rPr>
      </w:pPr>
      <w:bookmarkStart w:colFirst="0" w:colLast="0" w:name="_oje5tbrasumf" w:id="2"/>
      <w:bookmarkEnd w:id="2"/>
      <w:r w:rsidDel="00000000" w:rsidR="00000000" w:rsidRPr="00000000">
        <w:rPr>
          <w:b w:val="1"/>
          <w:bCs w:val="1"/>
          <w:sz w:val="26"/>
          <w:szCs w:val="26"/>
          <w:rtl w:val="0"/>
        </w:rPr>
        <w:t xml:space="preserve">Strengths</w:t>
      </w:r>
    </w:p>
    <w:p w:rsidR="00000000" w:rsidDel="00000000" w:rsidP="00000000" w:rsidRDefault="00000000" w:rsidRPr="00000000" w14:paraId="00000005">
      <w:pPr>
        <w:spacing w:after="240" w:before="240" w:lineRule="auto"/>
        <w:ind w:left="0" w:firstLine="0"/>
        <w:rPr>
          <w:sz w:val="26"/>
          <w:szCs w:val="26"/>
        </w:rPr>
      </w:pPr>
      <w:r w:rsidDel="00000000" w:rsidR="00000000" w:rsidRPr="00000000">
        <w:rPr>
          <w:sz w:val="26"/>
          <w:szCs w:val="26"/>
          <w:rtl w:val="0"/>
        </w:rPr>
        <w:t xml:space="preserve">Clear identification of a system-level scaling problem</w:t>
        <w:br w:type="textWrapping"/>
        <w:br w:type="textWrapping"/>
        <w:t xml:space="preserve">Consistent cross-layer reasoning</w:t>
        <w:br w:type="textWrapping"/>
        <w:br w:type="textWrapping"/>
        <w:t xml:space="preserve">Useful abstraction through the concept of dark silicon</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26"/>
          <w:szCs w:val="26"/>
        </w:rPr>
      </w:pPr>
      <w:bookmarkStart w:colFirst="0" w:colLast="0" w:name="_jj54jnd3j3w7" w:id="3"/>
      <w:bookmarkEnd w:id="3"/>
      <w:r w:rsidDel="00000000" w:rsidR="00000000" w:rsidRPr="00000000">
        <w:rPr>
          <w:b w:val="1"/>
          <w:bCs w:val="1"/>
          <w:sz w:val="26"/>
          <w:szCs w:val="26"/>
          <w:rtl w:val="0"/>
        </w:rPr>
        <w:t xml:space="preserve">Weaknesses</w:t>
      </w:r>
    </w:p>
    <w:p w:rsidR="00000000" w:rsidDel="00000000" w:rsidP="00000000" w:rsidRDefault="00000000" w:rsidRPr="00000000" w14:paraId="00000007">
      <w:pPr>
        <w:spacing w:after="240" w:before="240" w:lineRule="auto"/>
        <w:ind w:left="0" w:firstLine="0"/>
        <w:rPr>
          <w:sz w:val="26"/>
          <w:szCs w:val="26"/>
        </w:rPr>
      </w:pPr>
      <w:r w:rsidDel="00000000" w:rsidR="00000000" w:rsidRPr="00000000">
        <w:rPr>
          <w:sz w:val="26"/>
          <w:szCs w:val="26"/>
          <w:rtl w:val="0"/>
        </w:rPr>
        <w:t xml:space="preserve">Emphasis on upper-bound performance analysis</w:t>
      </w:r>
    </w:p>
    <w:p w:rsidR="00000000" w:rsidDel="00000000" w:rsidP="00000000" w:rsidRDefault="00000000" w:rsidRPr="00000000" w14:paraId="00000008">
      <w:pPr>
        <w:spacing w:after="240" w:before="240" w:lineRule="auto"/>
        <w:ind w:left="0" w:firstLine="0"/>
        <w:rPr>
          <w:sz w:val="26"/>
          <w:szCs w:val="26"/>
        </w:rPr>
      </w:pPr>
      <w:r w:rsidDel="00000000" w:rsidR="00000000" w:rsidRPr="00000000">
        <w:rPr>
          <w:sz w:val="26"/>
          <w:szCs w:val="26"/>
          <w:rtl w:val="0"/>
        </w:rPr>
        <w:t xml:space="preserve">Limited treatment of engineering and software costs</w:t>
        <w:br w:type="textWrapping"/>
        <w:br w:type="textWrapping"/>
        <w:t xml:space="preserve">Dependence on projected technology assumptions</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26"/>
          <w:szCs w:val="26"/>
        </w:rPr>
      </w:pPr>
      <w:bookmarkStart w:colFirst="0" w:colLast="0" w:name="_gttoj7d5c07" w:id="4"/>
      <w:bookmarkEnd w:id="4"/>
      <w:r w:rsidDel="00000000" w:rsidR="00000000" w:rsidRPr="00000000">
        <w:rPr>
          <w:b w:val="1"/>
          <w:bCs w:val="1"/>
          <w:sz w:val="26"/>
          <w:szCs w:val="26"/>
          <w:rtl w:val="0"/>
        </w:rPr>
        <w:t xml:space="preserve">Comments</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This paper provides a disciplined and timely system-level perspective on the consequences of power-constrained scaling. Rather than presenting dark silicon as an abrupt end to Moore’s Law, the authors frame it as a constraint that reshapes architectural choices. The argument is persuasive in explaining why multicore scaling alone is insufficient, but the paper largely treats specialization as a conceptual remedy without fully engaging with its practical engineering implications. Overall, the work is valuable for clarifying the architectural trade space, even if some conclusions depend on idealized assumptions.</w:t>
      </w:r>
    </w:p>
    <w:p w:rsidR="00000000" w:rsidDel="00000000" w:rsidP="00000000" w:rsidRDefault="00000000" w:rsidRPr="00000000" w14:paraId="0000000B">
      <w:pPr>
        <w:pStyle w:val="Heading2"/>
        <w:keepNext w:val="0"/>
        <w:keepLines w:val="0"/>
        <w:spacing w:after="80" w:lineRule="auto"/>
        <w:rPr>
          <w:b w:val="1"/>
          <w:bCs w:val="1"/>
          <w:sz w:val="26"/>
          <w:szCs w:val="26"/>
        </w:rPr>
      </w:pPr>
      <w:bookmarkStart w:colFirst="0" w:colLast="0" w:name="_9hpzetgzt4vy" w:id="5"/>
      <w:bookmarkEnd w:id="5"/>
      <w:r w:rsidDel="00000000" w:rsidR="00000000" w:rsidRPr="00000000">
        <w:rPr>
          <w:b w:val="1"/>
          <w:bCs w:val="1"/>
          <w:sz w:val="26"/>
          <w:szCs w:val="26"/>
          <w:rtl w:val="0"/>
        </w:rPr>
        <w:t xml:space="preserve">Discussion Points</w:t>
      </w:r>
    </w:p>
    <w:p w:rsidR="00000000" w:rsidDel="00000000" w:rsidP="00000000" w:rsidRDefault="00000000" w:rsidRPr="00000000" w14:paraId="0000000C">
      <w:pPr>
        <w:spacing w:after="240" w:before="240" w:lineRule="auto"/>
        <w:ind w:left="0" w:firstLine="0"/>
        <w:rPr>
          <w:sz w:val="26"/>
          <w:szCs w:val="26"/>
        </w:rPr>
      </w:pPr>
      <w:r w:rsidDel="00000000" w:rsidR="00000000" w:rsidRPr="00000000">
        <w:rPr>
          <w:sz w:val="26"/>
          <w:szCs w:val="26"/>
          <w:rtl w:val="0"/>
        </w:rPr>
        <w:t xml:space="preserve">Is dark silicon best interpreted as a fundamental architectural limit or as a reflection of current technology and design practices?</w:t>
      </w:r>
    </w:p>
    <w:p w:rsidR="00000000" w:rsidDel="00000000" w:rsidP="00000000" w:rsidRDefault="00000000" w:rsidRPr="00000000" w14:paraId="0000000D">
      <w:pPr>
        <w:spacing w:after="240" w:before="240" w:lineRule="auto"/>
        <w:ind w:left="0" w:firstLine="0"/>
        <w:rPr>
          <w:sz w:val="26"/>
          <w:szCs w:val="26"/>
        </w:rPr>
      </w:pPr>
      <w:r w:rsidDel="00000000" w:rsidR="00000000" w:rsidRPr="00000000">
        <w:rPr>
          <w:sz w:val="26"/>
          <w:szCs w:val="26"/>
          <w:rtl w:val="0"/>
        </w:rPr>
        <w:t xml:space="preserve">To what extent does specialization reduce total system cost once engineering complexity and software support are considered?</w:t>
      </w:r>
    </w:p>
    <w:p w:rsidR="00000000" w:rsidDel="00000000" w:rsidP="00000000" w:rsidRDefault="00000000" w:rsidRPr="00000000" w14:paraId="0000000E">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