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Esmaeilzadeh et al., ISCA 2011 — “Dark Silicon and the End of Multicore Scaling”</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 </w:t>
      </w:r>
      <w:r w:rsidDel="00000000" w:rsidR="00000000" w:rsidRPr="00000000">
        <w:rPr>
          <w:sz w:val="24"/>
          <w:szCs w:val="24"/>
          <w:rtl w:val="0"/>
        </w:rPr>
        <w:t xml:space="preserve">Accept</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paper shows how the end of Dennard’s scaling is forcing the eventual arrival of dark silicon (inactive transistors) in advanced process nodes. It highlights that advancements in process technology (i.e. a reduction in the gate length), will ultimately lead to an increase in the amount of dark silicon on a given chip. This paper used different architectures (symmetric, asymmetric, dynamic, and composed) with different levels of scaling (DEVICE × CORE × CMP SCALING) to determine the Pareto Frontier for various combinations of parameters. Ultimately, it concludes that current and future CPU/GPUs will no longer follow the projections of the ITRS Roadmap, and calls computer architects to keep Moore’s Law alive by shifting the attention to domain-specific compute.</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It identifies the main bottleneck in maintaining Moore’s Law: Power.</w:t>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It uses qualitative measures to prove their hypothesis.</w:t>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sz w:val="24"/>
          <w:szCs w:val="24"/>
          <w:rtl w:val="0"/>
        </w:rPr>
        <w:t xml:space="preserve">It uses real parallel workloads, such as PARSEC</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Exact numbers of performance measurements must be treated an approximation under their assumptions</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It mentions that software overheads were ignored in their study</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Comments:</w:t>
      </w:r>
      <w:r w:rsidDel="00000000" w:rsidR="00000000" w:rsidRPr="00000000">
        <w:rPr>
          <w:sz w:val="24"/>
          <w:szCs w:val="24"/>
          <w:rtl w:val="0"/>
        </w:rPr>
        <w:t xml:space="preserve"> In addition to the above to papers, I found this paper to be an eye-opener. And although this was written in 2011, the “silver lining” for computer architects is very true. Fast forward to today, computer architects are essential for optimizing ML workloads in all the AI buzz. And we can see that with the developments of the TPUs and NPUs.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 did find this paper to be technical-vocabulary heavy, which sometimes impeded my flow of reading through the paper, as I would have to “pause” to think what I just read. The body paper was discussing the methods, and results, which make sense why it was so technical. Revisiting the abstract, introduction, and conclusion were paramount for keeping me focused on the paper.</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Nits:</w:t>
      </w:r>
    </w:p>
    <w:p w:rsidR="00000000" w:rsidDel="00000000" w:rsidP="00000000" w:rsidRDefault="00000000" w:rsidRPr="00000000" w14:paraId="00000015">
      <w:pPr>
        <w:rPr>
          <w:sz w:val="24"/>
          <w:szCs w:val="24"/>
        </w:rPr>
      </w:pPr>
      <w:r w:rsidDel="00000000" w:rsidR="00000000" w:rsidRPr="00000000">
        <w:rPr>
          <w:sz w:val="24"/>
          <w:szCs w:val="24"/>
          <w:rtl w:val="0"/>
        </w:rPr>
        <w:t xml:space="preserve">The authors admit several optimistic assumptions (no synchronization overhead, OS serialization, memory queuing, etc.), but this should have been highlighted earlier since it directly affected my interpretation of the numerical results.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What is your vision to tackle dark silicon while improving performance and energy efficiency?</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