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sz w:val="26"/>
          <w:szCs w:val="26"/>
        </w:rPr>
      </w:pPr>
      <w:r w:rsidDel="00000000" w:rsidR="00000000" w:rsidRPr="00000000">
        <w:rPr>
          <w:b w:val="1"/>
          <w:bCs w:val="1"/>
          <w:sz w:val="26"/>
          <w:szCs w:val="26"/>
          <w:rtl w:val="0"/>
        </w:rPr>
        <w:t xml:space="preserve">Overall Merit: Weak Accept</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tb8hkdkpd27s" w:id="0"/>
      <w:bookmarkEnd w:id="0"/>
      <w:r w:rsidDel="00000000" w:rsidR="00000000" w:rsidRPr="00000000">
        <w:rPr>
          <w:b w:val="1"/>
          <w:bCs w:val="1"/>
          <w:color w:val="000000"/>
          <w:sz w:val="26"/>
          <w:szCs w:val="26"/>
          <w:rtl w:val="0"/>
        </w:rPr>
        <w:t xml:space="preserve">Summary</w:t>
      </w:r>
    </w:p>
    <w:p w:rsidR="00000000" w:rsidDel="00000000" w:rsidP="00000000" w:rsidRDefault="00000000" w:rsidRPr="00000000" w14:paraId="00000003">
      <w:pPr>
        <w:spacing w:after="240" w:before="240" w:lineRule="auto"/>
        <w:rPr>
          <w:sz w:val="26"/>
          <w:szCs w:val="26"/>
        </w:rPr>
      </w:pPr>
      <w:r w:rsidDel="00000000" w:rsidR="00000000" w:rsidRPr="00000000">
        <w:rPr>
          <w:sz w:val="26"/>
          <w:szCs w:val="26"/>
          <w:rtl w:val="0"/>
        </w:rPr>
        <w:t xml:space="preserve">This paper addresses the emerging </w:t>
      </w:r>
      <w:r w:rsidDel="00000000" w:rsidR="00000000" w:rsidRPr="00000000">
        <w:rPr>
          <w:i w:val="1"/>
          <w:iCs w:val="1"/>
          <w:sz w:val="26"/>
          <w:szCs w:val="26"/>
          <w:rtl w:val="0"/>
        </w:rPr>
        <w:t xml:space="preserve">utilization wall</w:t>
      </w:r>
      <w:r w:rsidDel="00000000" w:rsidR="00000000" w:rsidRPr="00000000">
        <w:rPr>
          <w:sz w:val="26"/>
          <w:szCs w:val="26"/>
          <w:rtl w:val="0"/>
        </w:rPr>
        <w:t xml:space="preserve"> caused by the breakdown of voltage scaling, where power—not transistor count—limits how much of a chip can run simultaneously. The key insight is that reducing </w:t>
      </w:r>
      <w:r w:rsidDel="00000000" w:rsidR="00000000" w:rsidRPr="00000000">
        <w:rPr>
          <w:i w:val="1"/>
          <w:iCs w:val="1"/>
          <w:sz w:val="26"/>
          <w:szCs w:val="26"/>
          <w:rtl w:val="0"/>
        </w:rPr>
        <w:t xml:space="preserve">energy per computation</w:t>
      </w:r>
      <w:r w:rsidDel="00000000" w:rsidR="00000000" w:rsidRPr="00000000">
        <w:rPr>
          <w:sz w:val="26"/>
          <w:szCs w:val="26"/>
          <w:rtl w:val="0"/>
        </w:rPr>
        <w:t xml:space="preserve">, rather than increasing performance, enables higher effective parallelism under a fixed power budget. To achieve this, the paper introduces conservation cores (c-cores): application-specific processors optimized for energy and energy-delay rather than speed.</w:t>
      </w:r>
    </w:p>
    <w:p w:rsidR="00000000" w:rsidDel="00000000" w:rsidP="00000000" w:rsidRDefault="00000000" w:rsidRPr="00000000" w14:paraId="00000004">
      <w:pPr>
        <w:spacing w:after="240" w:before="240" w:lineRule="auto"/>
        <w:rPr>
          <w:sz w:val="26"/>
          <w:szCs w:val="26"/>
        </w:rPr>
      </w:pPr>
      <w:r w:rsidDel="00000000" w:rsidR="00000000" w:rsidRPr="00000000">
        <w:rPr>
          <w:sz w:val="26"/>
          <w:szCs w:val="26"/>
          <w:rtl w:val="0"/>
        </w:rPr>
        <w:t xml:space="preserve">The main contribution is a complete, end-to-end system demonstrating that c-cores can be automatically synthesized from C code, tightly integrated into a general-purpose system, and remain useful over long software lifetimes via patching. The paper evaluates effectiveness using fully placed-and-routed 45 nm designs, showing up to 16× energy reduction for hot functions and meaningful whole-application energy and EDP savings across several mature workloads.</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rljeup6x1gsf" w:id="1"/>
      <w:bookmarkEnd w:id="1"/>
      <w:r w:rsidDel="00000000" w:rsidR="00000000" w:rsidRPr="00000000">
        <w:rPr>
          <w:b w:val="1"/>
          <w:bCs w:val="1"/>
          <w:color w:val="000000"/>
          <w:sz w:val="26"/>
          <w:szCs w:val="26"/>
          <w:rtl w:val="0"/>
        </w:rPr>
        <w:t xml:space="preserve">Strengths</w:t>
      </w:r>
    </w:p>
    <w:p w:rsidR="00000000" w:rsidDel="00000000" w:rsidP="00000000" w:rsidRDefault="00000000" w:rsidRPr="00000000" w14:paraId="00000006">
      <w:pPr>
        <w:spacing w:after="240" w:before="240" w:lineRule="auto"/>
        <w:ind w:left="0" w:firstLine="0"/>
        <w:rPr>
          <w:sz w:val="26"/>
          <w:szCs w:val="26"/>
        </w:rPr>
      </w:pPr>
      <w:r w:rsidDel="00000000" w:rsidR="00000000" w:rsidRPr="00000000">
        <w:rPr>
          <w:sz w:val="26"/>
          <w:szCs w:val="26"/>
          <w:rtl w:val="0"/>
        </w:rPr>
        <w:t xml:space="preserve">Clear reframing of the power wall as a utilization problem</w:t>
      </w:r>
    </w:p>
    <w:p w:rsidR="00000000" w:rsidDel="00000000" w:rsidP="00000000" w:rsidRDefault="00000000" w:rsidRPr="00000000" w14:paraId="00000007">
      <w:pPr>
        <w:spacing w:after="240" w:before="240" w:lineRule="auto"/>
        <w:ind w:left="0" w:firstLine="0"/>
        <w:rPr>
          <w:sz w:val="26"/>
          <w:szCs w:val="26"/>
        </w:rPr>
      </w:pPr>
      <w:r w:rsidDel="00000000" w:rsidR="00000000" w:rsidRPr="00000000">
        <w:rPr>
          <w:sz w:val="26"/>
          <w:szCs w:val="26"/>
          <w:rtl w:val="0"/>
        </w:rPr>
        <w:t xml:space="preserve">Strong system-level coherence</w:t>
      </w:r>
    </w:p>
    <w:p w:rsidR="00000000" w:rsidDel="00000000" w:rsidP="00000000" w:rsidRDefault="00000000" w:rsidRPr="00000000" w14:paraId="00000008">
      <w:pPr>
        <w:spacing w:after="240" w:before="240" w:lineRule="auto"/>
        <w:ind w:left="0" w:firstLine="0"/>
        <w:rPr>
          <w:sz w:val="26"/>
          <w:szCs w:val="26"/>
        </w:rPr>
      </w:pPr>
      <w:r w:rsidDel="00000000" w:rsidR="00000000" w:rsidRPr="00000000">
        <w:rPr>
          <w:sz w:val="26"/>
          <w:szCs w:val="26"/>
          <w:rtl w:val="0"/>
        </w:rPr>
        <w:t xml:space="preserve">Focus on “hard” workloads rather than easy accelerators</w:t>
      </w:r>
    </w:p>
    <w:p w:rsidR="00000000" w:rsidDel="00000000" w:rsidP="00000000" w:rsidRDefault="00000000" w:rsidRPr="00000000" w14:paraId="00000009">
      <w:pPr>
        <w:spacing w:after="240" w:before="240" w:lineRule="auto"/>
        <w:ind w:left="0" w:firstLine="0"/>
        <w:rPr>
          <w:sz w:val="26"/>
          <w:szCs w:val="26"/>
        </w:rPr>
      </w:pPr>
      <w:r w:rsidDel="00000000" w:rsidR="00000000" w:rsidRPr="00000000">
        <w:rPr>
          <w:sz w:val="26"/>
          <w:szCs w:val="26"/>
          <w:rtl w:val="0"/>
        </w:rPr>
        <w:t xml:space="preserve">Patching as a practical response to hardware longevity</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20tnju2l9dd8" w:id="2"/>
      <w:bookmarkEnd w:id="2"/>
      <w:r w:rsidDel="00000000" w:rsidR="00000000" w:rsidRPr="00000000">
        <w:rPr>
          <w:b w:val="1"/>
          <w:bCs w:val="1"/>
          <w:color w:val="000000"/>
          <w:sz w:val="26"/>
          <w:szCs w:val="26"/>
          <w:rtl w:val="0"/>
        </w:rPr>
        <w:t xml:space="preserve">Weaknesses</w:t>
      </w:r>
    </w:p>
    <w:p w:rsidR="00000000" w:rsidDel="00000000" w:rsidP="00000000" w:rsidRDefault="00000000" w:rsidRPr="00000000" w14:paraId="0000000B">
      <w:pPr>
        <w:spacing w:after="240" w:before="240" w:lineRule="auto"/>
        <w:ind w:left="0" w:firstLine="0"/>
        <w:rPr>
          <w:sz w:val="26"/>
          <w:szCs w:val="26"/>
        </w:rPr>
      </w:pPr>
      <w:r w:rsidDel="00000000" w:rsidR="00000000" w:rsidRPr="00000000">
        <w:rPr>
          <w:sz w:val="26"/>
          <w:szCs w:val="26"/>
          <w:rtl w:val="0"/>
        </w:rPr>
        <w:t xml:space="preserve">Heavy reliance on stable workloads and profiling assumptions</w:t>
      </w:r>
    </w:p>
    <w:p w:rsidR="00000000" w:rsidDel="00000000" w:rsidP="00000000" w:rsidRDefault="00000000" w:rsidRPr="00000000" w14:paraId="0000000C">
      <w:pPr>
        <w:spacing w:after="240" w:before="240" w:lineRule="auto"/>
        <w:ind w:left="0" w:firstLine="0"/>
        <w:rPr>
          <w:sz w:val="26"/>
          <w:szCs w:val="26"/>
        </w:rPr>
      </w:pPr>
      <w:r w:rsidDel="00000000" w:rsidR="00000000" w:rsidRPr="00000000">
        <w:rPr>
          <w:sz w:val="26"/>
          <w:szCs w:val="26"/>
          <w:rtl w:val="0"/>
        </w:rPr>
        <w:t xml:space="preserve">Area and power overhead of patchability is substantial</w:t>
      </w:r>
    </w:p>
    <w:p w:rsidR="00000000" w:rsidDel="00000000" w:rsidP="00000000" w:rsidRDefault="00000000" w:rsidRPr="00000000" w14:paraId="0000000D">
      <w:pPr>
        <w:spacing w:after="240" w:before="240" w:lineRule="auto"/>
        <w:ind w:left="0" w:firstLine="0"/>
        <w:rPr>
          <w:sz w:val="26"/>
          <w:szCs w:val="26"/>
        </w:rPr>
      </w:pPr>
      <w:r w:rsidDel="00000000" w:rsidR="00000000" w:rsidRPr="00000000">
        <w:rPr>
          <w:sz w:val="26"/>
          <w:szCs w:val="26"/>
          <w:rtl w:val="0"/>
        </w:rPr>
        <w:t xml:space="preserve">Limited discussion of opportunity cost and chip-level tradeoffs</w:t>
      </w:r>
    </w:p>
    <w:p w:rsidR="00000000" w:rsidDel="00000000" w:rsidP="00000000" w:rsidRDefault="00000000" w:rsidRPr="00000000" w14:paraId="0000000E">
      <w:pPr>
        <w:spacing w:after="240" w:before="240" w:lineRule="auto"/>
        <w:ind w:left="0" w:firstLine="0"/>
        <w:rPr>
          <w:sz w:val="26"/>
          <w:szCs w:val="26"/>
        </w:rPr>
      </w:pPr>
      <w:r w:rsidDel="00000000" w:rsidR="00000000" w:rsidRPr="00000000">
        <w:rPr>
          <w:sz w:val="26"/>
          <w:szCs w:val="26"/>
          <w:rtl w:val="0"/>
        </w:rPr>
        <w:t xml:space="preserve">Performance neutrality is treated as sufficient, not interrogated</w:t>
      </w:r>
      <w:r w:rsidDel="00000000" w:rsidR="00000000" w:rsidRPr="00000000">
        <w:rPr>
          <w:rtl w:val="0"/>
        </w:rPr>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ocvb4qjr6yej" w:id="3"/>
      <w:bookmarkEnd w:id="3"/>
      <w:r w:rsidDel="00000000" w:rsidR="00000000" w:rsidRPr="00000000">
        <w:rPr>
          <w:b w:val="1"/>
          <w:bCs w:val="1"/>
          <w:color w:val="000000"/>
          <w:sz w:val="26"/>
          <w:szCs w:val="26"/>
          <w:rtl w:val="0"/>
        </w:rPr>
        <w:t xml:space="preserve">Comments</w:t>
      </w:r>
    </w:p>
    <w:p w:rsidR="00000000" w:rsidDel="00000000" w:rsidP="00000000" w:rsidRDefault="00000000" w:rsidRPr="00000000" w14:paraId="00000010">
      <w:pPr>
        <w:spacing w:after="240" w:before="240" w:lineRule="auto"/>
        <w:rPr>
          <w:sz w:val="26"/>
          <w:szCs w:val="26"/>
        </w:rPr>
      </w:pPr>
      <w:r w:rsidDel="00000000" w:rsidR="00000000" w:rsidRPr="00000000">
        <w:rPr>
          <w:sz w:val="26"/>
          <w:szCs w:val="26"/>
          <w:rtl w:val="0"/>
        </w:rPr>
        <w:t xml:space="preserve">This paper stands out for treating energy efficiency as a first-class architectural objective, rather than a side-effect of performance optimization. The concept of conservation cores is compelling precisely because it rejects the usual accelerator narrative: the goal is not speed, but </w:t>
      </w:r>
      <w:r w:rsidDel="00000000" w:rsidR="00000000" w:rsidRPr="00000000">
        <w:rPr>
          <w:i w:val="1"/>
          <w:iCs w:val="1"/>
          <w:sz w:val="26"/>
          <w:szCs w:val="26"/>
          <w:rtl w:val="0"/>
        </w:rPr>
        <w:t xml:space="preserve">doing the same work with fewer transistor toggles</w:t>
      </w:r>
      <w:r w:rsidDel="00000000" w:rsidR="00000000" w:rsidRPr="00000000">
        <w:rPr>
          <w:sz w:val="26"/>
          <w:szCs w:val="26"/>
          <w:rtl w:val="0"/>
        </w:rPr>
        <w:t xml:space="preserve">.</w:t>
      </w:r>
    </w:p>
    <w:p w:rsidR="00000000" w:rsidDel="00000000" w:rsidP="00000000" w:rsidRDefault="00000000" w:rsidRPr="00000000" w14:paraId="00000011">
      <w:pPr>
        <w:spacing w:after="240" w:before="240" w:lineRule="auto"/>
        <w:rPr>
          <w:sz w:val="26"/>
          <w:szCs w:val="26"/>
        </w:rPr>
      </w:pPr>
      <w:r w:rsidDel="00000000" w:rsidR="00000000" w:rsidRPr="00000000">
        <w:rPr>
          <w:sz w:val="26"/>
          <w:szCs w:val="26"/>
          <w:rtl w:val="0"/>
        </w:rPr>
        <w:t xml:space="preserve">The patching mechanism is particularly insightful—not because it is elegant, but because it reflects a realistic understanding of how long hardware must remain relevant. The paper implicitly argues that specialization is only viable at scale if hardware can tolerate software drift, which remains a central concern today.</w:t>
      </w:r>
    </w:p>
    <w:p w:rsidR="00000000" w:rsidDel="00000000" w:rsidP="00000000" w:rsidRDefault="00000000" w:rsidRPr="00000000" w14:paraId="00000012">
      <w:pPr>
        <w:spacing w:after="240" w:before="240" w:lineRule="auto"/>
        <w:rPr>
          <w:sz w:val="26"/>
          <w:szCs w:val="26"/>
        </w:rPr>
      </w:pPr>
      <w:r w:rsidDel="00000000" w:rsidR="00000000" w:rsidRPr="00000000">
        <w:rPr>
          <w:sz w:val="26"/>
          <w:szCs w:val="26"/>
          <w:rtl w:val="0"/>
        </w:rPr>
        <w:t xml:space="preserve">At the same time, the paper is optimistic about how well profiling and compiler automation can identify stable hot regions. This optimism is reasonable for mature workloads but less convincing for rapidly evolving or interactive applications.</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7aosh0yidyxq" w:id="4"/>
      <w:bookmarkEnd w:id="4"/>
      <w:r w:rsidDel="00000000" w:rsidR="00000000" w:rsidRPr="00000000">
        <w:rPr>
          <w:b w:val="1"/>
          <w:bCs w:val="1"/>
          <w:color w:val="000000"/>
          <w:sz w:val="26"/>
          <w:szCs w:val="26"/>
          <w:rtl w:val="0"/>
        </w:rPr>
        <w:t xml:space="preserve">Discussion Points</w:t>
      </w:r>
    </w:p>
    <w:p w:rsidR="00000000" w:rsidDel="00000000" w:rsidP="00000000" w:rsidRDefault="00000000" w:rsidRPr="00000000" w14:paraId="00000014">
      <w:pPr>
        <w:spacing w:after="240" w:before="240" w:lineRule="auto"/>
        <w:ind w:left="0" w:firstLine="0"/>
        <w:rPr>
          <w:sz w:val="26"/>
          <w:szCs w:val="26"/>
        </w:rPr>
      </w:pPr>
      <w:r w:rsidDel="00000000" w:rsidR="00000000" w:rsidRPr="00000000">
        <w:rPr>
          <w:sz w:val="26"/>
          <w:szCs w:val="26"/>
          <w:rtl w:val="0"/>
        </w:rPr>
        <w:t xml:space="preserve">Is the utilization wall fundamentally a technology constraint, or a design failure rooted in performance-centric metrics?</w:t>
      </w:r>
    </w:p>
    <w:p w:rsidR="00000000" w:rsidDel="00000000" w:rsidP="00000000" w:rsidRDefault="00000000" w:rsidRPr="00000000" w14:paraId="00000015">
      <w:pPr>
        <w:spacing w:after="240" w:before="240" w:lineRule="auto"/>
        <w:ind w:left="0" w:firstLine="0"/>
        <w:rPr>
          <w:sz w:val="26"/>
          <w:szCs w:val="26"/>
        </w:rPr>
      </w:pPr>
      <w:r w:rsidDel="00000000" w:rsidR="00000000" w:rsidRPr="00000000">
        <w:rPr>
          <w:sz w:val="26"/>
          <w:szCs w:val="26"/>
          <w:rtl w:val="0"/>
        </w:rPr>
        <w:t xml:space="preserve">How does the c-core philosophy compare to modern chiplet-based specialization or near-memory processing?</w:t>
        <w:br w:type="textWrapping"/>
      </w:r>
    </w:p>
    <w:p w:rsidR="00000000" w:rsidDel="00000000" w:rsidP="00000000" w:rsidRDefault="00000000" w:rsidRPr="00000000" w14:paraId="00000016">
      <w:pPr>
        <w:rPr>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