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i0llj6kbbo1i" w:id="0"/>
      <w:bookmarkEnd w:id="0"/>
      <w:r w:rsidDel="00000000" w:rsidR="00000000" w:rsidRPr="00000000">
        <w:rPr>
          <w:b w:val="1"/>
          <w:bCs w:val="1"/>
          <w:color w:val="000000"/>
          <w:sz w:val="26"/>
          <w:szCs w:val="26"/>
          <w:rtl w:val="0"/>
        </w:rPr>
        <w:t xml:space="preserve">Overall Merit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Strong Accept</w: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x2dbvkg05kij" w:id="1"/>
      <w:bookmarkEnd w:id="1"/>
      <w:r w:rsidDel="00000000" w:rsidR="00000000" w:rsidRPr="00000000">
        <w:rPr>
          <w:b w:val="1"/>
          <w:bCs w:val="1"/>
          <w:color w:val="000000"/>
          <w:sz w:val="26"/>
          <w:szCs w:val="26"/>
          <w:rtl w:val="0"/>
        </w:rPr>
        <w:t xml:space="preserve">Summary</w:t>
      </w:r>
    </w:p>
    <w:p w:rsidR="00000000" w:rsidDel="00000000" w:rsidP="00000000" w:rsidRDefault="00000000" w:rsidRPr="00000000" w14:paraId="00000004">
      <w:pPr>
        <w:spacing w:after="240" w:before="240" w:lineRule="auto"/>
        <w:rPr/>
      </w:pPr>
      <w:r w:rsidDel="00000000" w:rsidR="00000000" w:rsidRPr="00000000">
        <w:rPr>
          <w:rtl w:val="0"/>
        </w:rPr>
        <w:t xml:space="preserve">This paper revisits the memory wall problem in the context of modern AI workloads, arguing that for large Transformer models—especially decoder-style LLMs—memory bandwidth, not compute, has become the dominant bottleneck. While hardware FLOPS has continued to scale rapidly, DRAM and interconnect bandwidth have lagged significantly, making many AI workloads fundamentally memory-bound rather than compute-bound.</w:t>
      </w:r>
    </w:p>
    <w:p w:rsidR="00000000" w:rsidDel="00000000" w:rsidP="00000000" w:rsidRDefault="00000000" w:rsidRPr="00000000" w14:paraId="00000005">
      <w:pPr>
        <w:spacing w:after="240" w:before="240" w:lineRule="auto"/>
        <w:rPr/>
      </w:pPr>
      <w:r w:rsidDel="00000000" w:rsidR="00000000" w:rsidRPr="00000000">
        <w:rPr>
          <w:rtl w:val="0"/>
        </w:rPr>
        <w:t xml:space="preserve">Through empirical analysis and profiling of encoder (e.g., BERT) and decoder (e.g., GPT) models, the paper shows that decoder models suffer from extremely low arithmetic intensity due to matrix–vector operations, leading to poor utilization of accelerator compute units. The authors argue that overcoming this bottleneck requires rethinking model architecture, training algorithms, deployment strategies, and accelerator design, rather than continuing to scale compute alone.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ah3jx0nnlls2" w:id="2"/>
      <w:bookmarkEnd w:id="2"/>
      <w:r w:rsidDel="00000000" w:rsidR="00000000" w:rsidRPr="00000000">
        <w:rPr>
          <w:b w:val="1"/>
          <w:bCs w:val="1"/>
          <w:color w:val="000000"/>
          <w:sz w:val="26"/>
          <w:szCs w:val="26"/>
          <w:rtl w:val="0"/>
        </w:rPr>
        <w:t xml:space="preserve">Strengths</w:t>
      </w:r>
    </w:p>
    <w:p w:rsidR="00000000" w:rsidDel="00000000" w:rsidP="00000000" w:rsidRDefault="00000000" w:rsidRPr="00000000" w14:paraId="00000007">
      <w:pPr>
        <w:spacing w:after="240" w:before="240" w:lineRule="auto"/>
        <w:ind w:left="0" w:firstLine="0"/>
        <w:rPr/>
      </w:pPr>
      <w:r w:rsidDel="00000000" w:rsidR="00000000" w:rsidRPr="00000000">
        <w:rPr>
          <w:rtl w:val="0"/>
        </w:rPr>
        <w:t xml:space="preserve">Clearly demonstrates that AI has entered a memory-bound regime, especially for inference</w:t>
      </w:r>
    </w:p>
    <w:p w:rsidR="00000000" w:rsidDel="00000000" w:rsidP="00000000" w:rsidRDefault="00000000" w:rsidRPr="00000000" w14:paraId="00000008">
      <w:pPr>
        <w:spacing w:after="240" w:before="240" w:lineRule="auto"/>
        <w:ind w:left="0" w:firstLine="0"/>
        <w:rPr/>
      </w:pPr>
      <w:r w:rsidDel="00000000" w:rsidR="00000000" w:rsidRPr="00000000">
        <w:rPr>
          <w:rtl w:val="0"/>
        </w:rPr>
        <w:t xml:space="preserve">Uses arithmetic intensity as the right lens instead of FLOPs alone</w:t>
      </w:r>
    </w:p>
    <w:p w:rsidR="00000000" w:rsidDel="00000000" w:rsidP="00000000" w:rsidRDefault="00000000" w:rsidRPr="00000000" w14:paraId="00000009">
      <w:pPr>
        <w:spacing w:after="240" w:before="240" w:lineRule="auto"/>
        <w:ind w:left="0" w:firstLine="0"/>
        <w:rPr/>
      </w:pPr>
      <w:r w:rsidDel="00000000" w:rsidR="00000000" w:rsidRPr="00000000">
        <w:rPr>
          <w:rtl w:val="0"/>
        </w:rPr>
        <w:t xml:space="preserve">Strong system-level perspective linking models, software, and hardware</w:t>
      </w:r>
    </w:p>
    <w:p w:rsidR="00000000" w:rsidDel="00000000" w:rsidP="00000000" w:rsidRDefault="00000000" w:rsidRPr="00000000" w14:paraId="0000000A">
      <w:pPr>
        <w:spacing w:after="240" w:before="240" w:lineRule="auto"/>
        <w:ind w:left="0" w:firstLine="0"/>
        <w:rPr/>
      </w:pPr>
      <w:r w:rsidDel="00000000" w:rsidR="00000000" w:rsidRPr="00000000">
        <w:rPr>
          <w:rtl w:val="0"/>
        </w:rPr>
        <w:t xml:space="preserve">Empirical evidence (profiling encoder vs decoder models) is convincing</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2kipdckjgpmz" w:id="3"/>
      <w:bookmarkEnd w:id="3"/>
      <w:r w:rsidDel="00000000" w:rsidR="00000000" w:rsidRPr="00000000">
        <w:rPr>
          <w:b w:val="1"/>
          <w:bCs w:val="1"/>
          <w:color w:val="000000"/>
          <w:sz w:val="26"/>
          <w:szCs w:val="26"/>
          <w:rtl w:val="0"/>
        </w:rPr>
        <w:t xml:space="preserve">Weaknesses</w:t>
      </w:r>
    </w:p>
    <w:p w:rsidR="00000000" w:rsidDel="00000000" w:rsidP="00000000" w:rsidRDefault="00000000" w:rsidRPr="00000000" w14:paraId="0000000C">
      <w:pPr>
        <w:spacing w:after="240" w:before="240" w:lineRule="auto"/>
        <w:ind w:left="0" w:firstLine="0"/>
        <w:rPr/>
      </w:pPr>
      <w:r w:rsidDel="00000000" w:rsidR="00000000" w:rsidRPr="00000000">
        <w:rPr>
          <w:rtl w:val="0"/>
        </w:rPr>
        <w:t xml:space="preserve">Largely diagnostic rather than prescriptive; proposed solutions are high-level</w:t>
      </w:r>
    </w:p>
    <w:p w:rsidR="00000000" w:rsidDel="00000000" w:rsidP="00000000" w:rsidRDefault="00000000" w:rsidRPr="00000000" w14:paraId="0000000D">
      <w:pPr>
        <w:spacing w:after="240" w:before="240" w:lineRule="auto"/>
        <w:ind w:left="0" w:firstLine="0"/>
        <w:rPr/>
      </w:pPr>
      <w:r w:rsidDel="00000000" w:rsidR="00000000" w:rsidRPr="00000000">
        <w:rPr>
          <w:rtl w:val="0"/>
        </w:rPr>
        <w:t xml:space="preserve">Assumes current Transformer dominance, with limited discussion of alternative model paradigms</w:t>
      </w:r>
    </w:p>
    <w:p w:rsidR="00000000" w:rsidDel="00000000" w:rsidP="00000000" w:rsidRDefault="00000000" w:rsidRPr="00000000" w14:paraId="0000000E">
      <w:pPr>
        <w:spacing w:after="240" w:before="240" w:lineRule="auto"/>
        <w:ind w:left="0" w:firstLine="0"/>
        <w:rPr/>
      </w:pPr>
      <w:r w:rsidDel="00000000" w:rsidR="00000000" w:rsidRPr="00000000">
        <w:rPr>
          <w:rtl w:val="0"/>
        </w:rPr>
        <w:t xml:space="preserve">Does not deeply quantify energy or cost tradeoffs of the proposed directions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9f8xhk2vz6dv" w:id="4"/>
      <w:bookmarkEnd w:id="4"/>
      <w:r w:rsidDel="00000000" w:rsidR="00000000" w:rsidRPr="00000000">
        <w:rPr>
          <w:b w:val="1"/>
          <w:bCs w:val="1"/>
          <w:color w:val="000000"/>
          <w:sz w:val="26"/>
          <w:szCs w:val="26"/>
          <w:rtl w:val="0"/>
        </w:rPr>
        <w:t xml:space="preserve">Comments</w:t>
      </w:r>
    </w:p>
    <w:p w:rsidR="00000000" w:rsidDel="00000000" w:rsidP="00000000" w:rsidRDefault="00000000" w:rsidRPr="00000000" w14:paraId="00000010">
      <w:pPr>
        <w:spacing w:after="240" w:before="240" w:lineRule="auto"/>
        <w:rPr/>
      </w:pPr>
      <w:r w:rsidDel="00000000" w:rsidR="00000000" w:rsidRPr="00000000">
        <w:rPr>
          <w:rtl w:val="0"/>
        </w:rPr>
        <w:t xml:space="preserve">This paper is best read as a position paper grounded in data, rather than a proposal of a new mechanism. Its main contribution is making it explicit that scaling FLOPs alone is increasingly ineffective for AI systems, and that decoder-style models expose the memory wall in its clearest form. The arguments are not surprising, but they are well-supported and timely, especially given current LLM deployment challenges.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uvuzpv82bcb8" w:id="5"/>
      <w:bookmarkEnd w:id="5"/>
      <w:r w:rsidDel="00000000" w:rsidR="00000000" w:rsidRPr="00000000">
        <w:rPr>
          <w:b w:val="1"/>
          <w:bCs w:val="1"/>
          <w:color w:val="000000"/>
          <w:sz w:val="26"/>
          <w:szCs w:val="26"/>
          <w:rtl w:val="0"/>
        </w:rPr>
        <w:t xml:space="preserve">Discussion Points</w:t>
      </w:r>
    </w:p>
    <w:p w:rsidR="00000000" w:rsidDel="00000000" w:rsidP="00000000" w:rsidRDefault="00000000" w:rsidRPr="00000000" w14:paraId="00000012">
      <w:pPr>
        <w:spacing w:after="240" w:before="240" w:lineRule="auto"/>
        <w:ind w:left="0" w:firstLine="0"/>
        <w:rPr/>
      </w:pPr>
      <w:r w:rsidDel="00000000" w:rsidR="00000000" w:rsidRPr="00000000">
        <w:rPr>
          <w:rtl w:val="0"/>
        </w:rPr>
        <w:t xml:space="preserve">Is the AI memory wall primarily a model-architecture problem or a hardware design failure?</w:t>
      </w:r>
    </w:p>
    <w:p w:rsidR="00000000" w:rsidDel="00000000" w:rsidP="00000000" w:rsidRDefault="00000000" w:rsidRPr="00000000" w14:paraId="00000013">
      <w:pPr>
        <w:spacing w:after="240" w:before="240" w:lineRule="auto"/>
        <w:ind w:left="0" w:firstLine="0"/>
        <w:rPr/>
      </w:pPr>
      <w:r w:rsidDel="00000000" w:rsidR="00000000" w:rsidRPr="00000000">
        <w:rPr>
          <w:rtl w:val="0"/>
        </w:rPr>
        <w:t xml:space="preserve">Do approaches like quantization and rematerialization fundamentally change the trend, or only delay it?</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