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Accept (3)</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work has predicted that the divergence between compute and memory improvements will create a memory wall problem. This work re-examines the memory wall trend in the context of hardware for AI training. Recent AI models are trained with unprecedented data volumes and feature unprecedented model size and compute requirements. The slower scaling of on-chip memory size, latency, and inter- and intra-chip bandwidth has made memory rather than compute the limiting bottleneck. The authors present a case study for two different Transformer architectures profiled on an Intel Gold CPU. The authors then identify a few avenues for improvement, like techniques for efficient training algorithms, efficient deployment, and AI accelerator design.</w:t>
      </w:r>
    </w:p>
    <w:p w:rsidR="00000000" w:rsidDel="00000000" w:rsidP="00000000" w:rsidRDefault="00000000" w:rsidRPr="00000000" w14:paraId="00000006">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Strengths / Weaknesses</w:t>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tab/>
      </w:r>
    </w:p>
    <w:p w:rsidR="00000000" w:rsidDel="00000000" w:rsidP="00000000" w:rsidRDefault="00000000" w:rsidRPr="00000000" w14:paraId="00000008">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Re-examines the memory wall in the context of modern AI workloads and hardware</w:t>
      </w:r>
    </w:p>
    <w:p w:rsidR="00000000" w:rsidDel="00000000" w:rsidP="00000000" w:rsidRDefault="00000000" w:rsidRPr="00000000" w14:paraId="00000009">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Presents a case study profiling Transformer workloads on commodity hardware</w:t>
      </w:r>
    </w:p>
    <w:p w:rsidR="00000000" w:rsidDel="00000000" w:rsidP="00000000" w:rsidRDefault="00000000" w:rsidRPr="00000000" w14:paraId="0000000A">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Suggests multiple avenues for future work to address the memory wall</w:t>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C">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evaluation platforms</w:t>
      </w:r>
    </w:p>
    <w:p w:rsidR="00000000" w:rsidDel="00000000" w:rsidP="00000000" w:rsidRDefault="00000000" w:rsidRPr="00000000" w14:paraId="0000000D">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p>
    <w:p w:rsidR="00000000" w:rsidDel="00000000" w:rsidP="00000000" w:rsidRDefault="00000000" w:rsidRPr="00000000" w14:paraId="0000000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presents a compelling trend analysis showing that the memory wall is becoming the dominant bottleneck in AI workloads. I appreciated how the authors rooted their claim in historical trends and framed current AI tasks and hardware as the realization of the memory wall prediction.</w:t>
      </w:r>
    </w:p>
    <w:p w:rsidR="00000000" w:rsidDel="00000000" w:rsidP="00000000" w:rsidRDefault="00000000" w:rsidRPr="00000000" w14:paraId="0000000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 of the introduction is a bit confusing. The authors say that they first start by analyzing trends in recent AI hardware and models and then say that they then perform a case study which is presented in the following section. Since this trend analysis is also a part of the findings of the paper, I would also separate this from the introduction and put it in an individual section. </w:t>
      </w:r>
    </w:p>
    <w:p w:rsidR="00000000" w:rsidDel="00000000" w:rsidP="00000000" w:rsidRDefault="00000000" w:rsidRPr="00000000" w14:paraId="0000001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serving is typically performed on GPU. I would like to see the motivation for profiling Transformer inference on a CPU.</w:t>
      </w:r>
    </w:p>
    <w:p w:rsidR="00000000" w:rsidDel="00000000" w:rsidP="00000000" w:rsidRDefault="00000000" w:rsidRPr="00000000" w14:paraId="0000001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state that CPUs have better performance than GPUs for bandwidth-bound problems, and their main challenge is their weak peak compute capability compared to GPUs or TPUs. I think this claim would be more impactful with profiling data or at least citations of prior supporting work.</w:t>
      </w:r>
    </w:p>
    <w:p w:rsidR="00000000" w:rsidDel="00000000" w:rsidP="00000000" w:rsidRDefault="00000000" w:rsidRPr="00000000" w14:paraId="0000001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studies trends of recent AI models, but seems to focus on Transformer-based models. I wonder if these same trends are observed in cutting-edge models being investigated in academia, such as diffusion models, and if there is any recent work in model architectures that aim to reduce the memory cost. </w:t>
      </w:r>
    </w:p>
    <w:p w:rsidR="00000000" w:rsidDel="00000000" w:rsidP="00000000" w:rsidRDefault="00000000" w:rsidRPr="00000000" w14:paraId="00000013">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sentence running from the end of page 4 to page 5 is missing punctuation.</w:t>
      </w:r>
    </w:p>
    <w:p w:rsidR="00000000" w:rsidDel="00000000" w:rsidP="00000000" w:rsidRDefault="00000000" w:rsidRPr="00000000" w14:paraId="00000015">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Discussion Questions</w:t>
      </w:r>
    </w:p>
    <w:p w:rsidR="00000000" w:rsidDel="00000000" w:rsidP="00000000" w:rsidRDefault="00000000" w:rsidRPr="00000000" w14:paraId="00000016">
      <w:pPr>
        <w:numPr>
          <w:ilvl w:val="0"/>
          <w:numId w:val="1"/>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the memory wall require a fundamental paradigm shift in how AI model architecture and training?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